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C500" w14:textId="701EFE28" w:rsidR="0028546A" w:rsidRDefault="0028546A" w:rsidP="00575F88">
      <w:pPr>
        <w:ind w:right="-108"/>
        <w:jc w:val="right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08044451">
            <wp:simplePos x="0" y="0"/>
            <wp:positionH relativeFrom="column">
              <wp:posOffset>971550</wp:posOffset>
            </wp:positionH>
            <wp:positionV relativeFrom="paragraph">
              <wp:posOffset>1905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>ΑΔΙΑΒΑΘΜΗΤΟ</w:t>
      </w:r>
      <w:r w:rsidR="00575F88" w:rsidRPr="00BB68E8">
        <w:rPr>
          <w:rFonts w:ascii="Arial" w:hAnsi="Arial" w:cs="Arial"/>
          <w:b/>
          <w:sz w:val="22"/>
          <w:szCs w:val="22"/>
        </w:rPr>
        <w:t xml:space="preserve"> - </w:t>
      </w:r>
      <w:bookmarkStart w:id="0" w:name="ΠΡΟΤΕΡΑΙΟΤΗΤΑ"/>
      <w:r>
        <w:rPr>
          <w:rFonts w:ascii="Arial" w:hAnsi="Arial" w:cs="Arial"/>
          <w:b/>
          <w:sz w:val="22"/>
          <w:szCs w:val="22"/>
        </w:rPr>
        <w:t>ΚΑΝΟΝΙΚΟ</w:t>
      </w:r>
      <w:bookmarkEnd w:id="0"/>
    </w:p>
    <w:p w14:paraId="4AA4CDE6" w14:textId="77777777" w:rsidR="0028546A" w:rsidRDefault="0028546A" w:rsidP="0028546A">
      <w:pPr>
        <w:ind w:right="-108"/>
        <w:jc w:val="right"/>
        <w:rPr>
          <w:rFonts w:ascii="Arial" w:hAnsi="Arial" w:cs="Arial"/>
          <w:b/>
        </w:rPr>
      </w:pPr>
    </w:p>
    <w:p w14:paraId="28E46347" w14:textId="6A1FF04E" w:rsid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2F8A6771" w14:textId="77777777" w:rsidR="00575F88" w:rsidRDefault="0028546A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>
        <w:rPr>
          <w:rFonts w:ascii="Arial" w:hAnsi="Arial" w:cs="Arial"/>
          <w:b/>
          <w:color w:val="003DCC"/>
          <w:sz w:val="20"/>
          <w:szCs w:val="20"/>
        </w:rPr>
        <w:tab/>
      </w:r>
    </w:p>
    <w:p w14:paraId="649BD5DB" w14:textId="5DE94BB8" w:rsidR="0028546A" w:rsidRPr="00A045A2" w:rsidRDefault="00575F88" w:rsidP="0028546A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 w:rsidRPr="00BB68E8">
        <w:rPr>
          <w:rFonts w:ascii="Arial" w:hAnsi="Arial" w:cs="Arial"/>
          <w:b/>
          <w:color w:val="003DCC"/>
          <w:sz w:val="20"/>
          <w:szCs w:val="20"/>
        </w:rPr>
        <w:t xml:space="preserve">            </w:t>
      </w:r>
      <w:r w:rsidR="0028546A" w:rsidRPr="00A045A2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A045A2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1" w:name="ΤΙΤΛΟΣ_1"/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Πρεσβεία της Ελλάδος</w:t>
      </w:r>
      <w:bookmarkEnd w:id="1"/>
    </w:p>
    <w:p w14:paraId="0CAE6840" w14:textId="4496F014" w:rsidR="0028546A" w:rsidRDefault="0028546A" w:rsidP="0028546A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Ουάσιγκτων</w:t>
      </w:r>
    </w:p>
    <w:p w14:paraId="25B6E9B0" w14:textId="6ABA0D0F" w:rsidR="0028546A" w:rsidRPr="0028546A" w:rsidRDefault="0028546A" w:rsidP="0028546A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2" w:name="ΤΙΤΛΟΣ_2"/>
      <w:r w:rsidRPr="0028546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2"/>
    </w:p>
    <w:p w14:paraId="1A3B6729" w14:textId="4FF72BC4" w:rsidR="0028546A" w:rsidRDefault="0028546A" w:rsidP="0028546A">
      <w:pPr>
        <w:tabs>
          <w:tab w:val="center" w:pos="1890"/>
          <w:tab w:val="center" w:pos="5580"/>
        </w:tabs>
        <w:rPr>
          <w:rFonts w:ascii="Arial" w:hAnsi="Arial" w:cs="Arial"/>
          <w:sz w:val="20"/>
          <w:szCs w:val="20"/>
        </w:rPr>
      </w:pPr>
      <w:r w:rsidRPr="002371AB">
        <w:rPr>
          <w:rFonts w:ascii="Arial" w:hAnsi="Arial" w:cs="Arial"/>
          <w:sz w:val="16"/>
          <w:szCs w:val="16"/>
        </w:rPr>
        <w:tab/>
      </w:r>
    </w:p>
    <w:p w14:paraId="6191A422" w14:textId="2B52970D" w:rsid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09D93D37" w14:textId="791A8376" w:rsidR="0028546A" w:rsidRPr="0028546A" w:rsidRDefault="0028546A" w:rsidP="0028546A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 xml:space="preserve">Ουάσιγκτων, </w:t>
      </w:r>
      <w:r w:rsidR="00E12F9C">
        <w:rPr>
          <w:rFonts w:ascii="Arial" w:hAnsi="Arial" w:cs="Arial"/>
          <w:sz w:val="20"/>
          <w:szCs w:val="20"/>
        </w:rPr>
        <w:t>4</w:t>
      </w:r>
      <w:r w:rsidR="008B197A" w:rsidRPr="0074176D">
        <w:rPr>
          <w:rFonts w:ascii="Arial" w:hAnsi="Arial" w:cs="Arial"/>
          <w:sz w:val="20"/>
          <w:szCs w:val="20"/>
        </w:rPr>
        <w:t xml:space="preserve"> </w:t>
      </w:r>
      <w:r w:rsidR="00E12F9C">
        <w:rPr>
          <w:rFonts w:ascii="Arial" w:hAnsi="Arial" w:cs="Arial"/>
          <w:sz w:val="20"/>
          <w:szCs w:val="20"/>
        </w:rPr>
        <w:t>Μα</w:t>
      </w:r>
      <w:r w:rsidR="00E12F9C" w:rsidRPr="0028546A">
        <w:rPr>
          <w:rFonts w:ascii="Arial" w:hAnsi="Arial" w:cs="Arial"/>
          <w:sz w:val="20"/>
          <w:szCs w:val="20"/>
        </w:rPr>
        <w:t>ΐου</w:t>
      </w:r>
      <w:r w:rsidR="00E12F9C">
        <w:rPr>
          <w:rFonts w:ascii="Arial" w:hAnsi="Arial" w:cs="Arial"/>
          <w:sz w:val="20"/>
          <w:szCs w:val="20"/>
        </w:rPr>
        <w:t xml:space="preserve"> </w:t>
      </w:r>
      <w:r w:rsidRPr="0028546A">
        <w:rPr>
          <w:rFonts w:ascii="Arial" w:hAnsi="Arial" w:cs="Arial"/>
          <w:sz w:val="20"/>
          <w:szCs w:val="20"/>
        </w:rPr>
        <w:t>202</w:t>
      </w:r>
      <w:r w:rsidR="0085709D">
        <w:rPr>
          <w:rFonts w:ascii="Arial" w:hAnsi="Arial" w:cs="Arial"/>
          <w:sz w:val="20"/>
          <w:szCs w:val="20"/>
        </w:rPr>
        <w:t>6</w:t>
      </w:r>
    </w:p>
    <w:p w14:paraId="2F8E6C01" w14:textId="20314182" w:rsidR="0047272D" w:rsidRDefault="0028546A" w:rsidP="00C23BB8">
      <w:pPr>
        <w:tabs>
          <w:tab w:val="center" w:pos="5760"/>
        </w:tabs>
        <w:jc w:val="right"/>
        <w:rPr>
          <w:rFonts w:ascii="Arial" w:hAnsi="Arial" w:cs="Arial"/>
          <w:b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>Α.Π</w:t>
      </w:r>
      <w:r w:rsidRPr="00DC7CB8">
        <w:rPr>
          <w:rFonts w:ascii="Arial" w:hAnsi="Arial" w:cs="Arial"/>
          <w:sz w:val="20"/>
          <w:szCs w:val="20"/>
        </w:rPr>
        <w:t>.</w:t>
      </w:r>
      <w:r w:rsidR="00AF5ABB" w:rsidRPr="00DC7CB8">
        <w:rPr>
          <w:rFonts w:ascii="Arial" w:hAnsi="Arial" w:cs="Arial"/>
          <w:sz w:val="20"/>
          <w:szCs w:val="20"/>
        </w:rPr>
        <w:t xml:space="preserve"> </w:t>
      </w:r>
      <w:r w:rsidR="00C23BB8" w:rsidRPr="00C87FB1">
        <w:rPr>
          <w:rFonts w:ascii="Arial" w:hAnsi="Arial" w:cs="Arial"/>
          <w:sz w:val="20"/>
          <w:szCs w:val="20"/>
        </w:rPr>
        <w:t>1005</w:t>
      </w:r>
    </w:p>
    <w:p w14:paraId="0E47DC87" w14:textId="2AD839D7" w:rsidR="00633339" w:rsidRDefault="0028546A" w:rsidP="0085709D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b/>
          <w:sz w:val="20"/>
          <w:szCs w:val="20"/>
        </w:rPr>
        <w:t>Προ</w:t>
      </w:r>
      <w:r w:rsidRPr="0028546A">
        <w:rPr>
          <w:rFonts w:ascii="Arial" w:hAnsi="Arial" w:cs="Arial"/>
          <w:sz w:val="20"/>
          <w:szCs w:val="20"/>
        </w:rPr>
        <w:t xml:space="preserve">ς: </w:t>
      </w:r>
      <w:r w:rsidR="00BB68E8" w:rsidRPr="00BB68E8">
        <w:rPr>
          <w:rFonts w:ascii="Arial" w:hAnsi="Arial" w:cs="Arial"/>
          <w:sz w:val="20"/>
          <w:szCs w:val="20"/>
        </w:rPr>
        <w:t xml:space="preserve">  </w:t>
      </w:r>
      <w:r w:rsidR="00633339" w:rsidRPr="007933C1">
        <w:rPr>
          <w:rFonts w:ascii="Arial" w:hAnsi="Arial" w:cs="Arial"/>
          <w:b/>
          <w:sz w:val="20"/>
          <w:szCs w:val="20"/>
        </w:rPr>
        <w:t>Υπουργείο Εξωτερικών</w:t>
      </w:r>
    </w:p>
    <w:p w14:paraId="4D99CEB6" w14:textId="7858EEDD" w:rsidR="00633339" w:rsidRPr="002B069F" w:rsidRDefault="0085709D" w:rsidP="00E84048">
      <w:pPr>
        <w:tabs>
          <w:tab w:val="center" w:pos="576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Β</w:t>
      </w:r>
      <w:r w:rsidR="00BB68E8" w:rsidRPr="00B066C5">
        <w:rPr>
          <w:rFonts w:ascii="Arial" w:hAnsi="Arial" w:cs="Arial"/>
          <w:sz w:val="20"/>
          <w:szCs w:val="20"/>
        </w:rPr>
        <w:t>3</w:t>
      </w:r>
      <w:r w:rsidR="00E84048">
        <w:rPr>
          <w:rFonts w:ascii="Arial" w:hAnsi="Arial" w:cs="Arial"/>
          <w:sz w:val="20"/>
          <w:szCs w:val="20"/>
        </w:rPr>
        <w:t xml:space="preserve"> Διεύθυνση</w:t>
      </w:r>
    </w:p>
    <w:p w14:paraId="6274361B" w14:textId="7FD4E15B" w:rsidR="0028546A" w:rsidRDefault="0028546A" w:rsidP="00633339">
      <w:pPr>
        <w:tabs>
          <w:tab w:val="center" w:pos="2230"/>
        </w:tabs>
        <w:outlineLvl w:val="0"/>
        <w:rPr>
          <w:rFonts w:ascii="Arial" w:hAnsi="Arial" w:cs="Arial"/>
          <w:sz w:val="20"/>
          <w:szCs w:val="20"/>
        </w:rPr>
      </w:pPr>
      <w:proofErr w:type="spellStart"/>
      <w:r w:rsidRPr="0028546A">
        <w:rPr>
          <w:rFonts w:ascii="Arial" w:hAnsi="Arial" w:cs="Arial"/>
          <w:b/>
          <w:sz w:val="20"/>
          <w:szCs w:val="20"/>
        </w:rPr>
        <w:t>Κοιν</w:t>
      </w:r>
      <w:proofErr w:type="spellEnd"/>
      <w:r w:rsidRPr="0028546A">
        <w:rPr>
          <w:rFonts w:ascii="Arial" w:hAnsi="Arial" w:cs="Arial"/>
          <w:b/>
          <w:sz w:val="20"/>
          <w:szCs w:val="20"/>
        </w:rPr>
        <w:t>.:</w:t>
      </w:r>
      <w:r w:rsidRPr="00A045A2">
        <w:rPr>
          <w:rFonts w:ascii="Arial" w:hAnsi="Arial" w:cs="Arial"/>
          <w:b/>
          <w:sz w:val="20"/>
          <w:szCs w:val="20"/>
        </w:rPr>
        <w:t xml:space="preserve"> </w:t>
      </w:r>
      <w:r w:rsidR="00633339">
        <w:rPr>
          <w:rFonts w:ascii="Arial" w:hAnsi="Arial" w:cs="Arial"/>
          <w:sz w:val="20"/>
          <w:szCs w:val="20"/>
        </w:rPr>
        <w:t xml:space="preserve">  </w:t>
      </w:r>
      <w:r w:rsidRPr="00A045A2">
        <w:rPr>
          <w:rFonts w:ascii="Arial" w:hAnsi="Arial" w:cs="Arial"/>
          <w:sz w:val="20"/>
          <w:szCs w:val="20"/>
        </w:rPr>
        <w:t>- Δ.Γ. κ. Πρωθυπουργού</w:t>
      </w:r>
    </w:p>
    <w:p w14:paraId="2DB99C4A" w14:textId="77777777" w:rsidR="0028546A" w:rsidRDefault="0028546A" w:rsidP="0028546A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κ. Υπουργού</w:t>
      </w:r>
    </w:p>
    <w:p w14:paraId="491CC676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 xml:space="preserve">- Δ.Γ. Υφυπουργού </w:t>
      </w:r>
      <w:proofErr w:type="spellStart"/>
      <w:r w:rsidRPr="00A045A2">
        <w:rPr>
          <w:rFonts w:ascii="Arial" w:hAnsi="Arial" w:cs="Arial"/>
          <w:sz w:val="20"/>
          <w:szCs w:val="20"/>
        </w:rPr>
        <w:t>κας</w:t>
      </w:r>
      <w:proofErr w:type="spellEnd"/>
      <w:r w:rsidRPr="00A045A2">
        <w:rPr>
          <w:rFonts w:ascii="Arial" w:hAnsi="Arial" w:cs="Arial"/>
          <w:sz w:val="20"/>
          <w:szCs w:val="20"/>
        </w:rPr>
        <w:t xml:space="preserve"> Παπαδοπούλου</w:t>
      </w:r>
    </w:p>
    <w:p w14:paraId="3C0E91BD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Υφυπουργού κ. Θεοχάρη</w:t>
      </w:r>
    </w:p>
    <w:p w14:paraId="375B5385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045A2">
        <w:rPr>
          <w:rFonts w:ascii="Arial" w:hAnsi="Arial" w:cs="Arial"/>
          <w:sz w:val="20"/>
          <w:szCs w:val="20"/>
        </w:rPr>
        <w:t>Γρ</w:t>
      </w:r>
      <w:proofErr w:type="spellEnd"/>
      <w:r w:rsidRPr="00A045A2">
        <w:rPr>
          <w:rFonts w:ascii="Arial" w:hAnsi="Arial" w:cs="Arial"/>
          <w:sz w:val="20"/>
          <w:szCs w:val="20"/>
        </w:rPr>
        <w:t>. κ. Γενικού Γραμματέα ΔΟΣ &amp; Εξ.</w:t>
      </w:r>
    </w:p>
    <w:p w14:paraId="6EBF7BEC" w14:textId="77777777" w:rsidR="0028546A" w:rsidRDefault="0028546A" w:rsidP="0028546A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Α΄, Β΄ Γεν. Δ/</w:t>
      </w:r>
      <w:proofErr w:type="spellStart"/>
      <w:r w:rsidRPr="00A045A2">
        <w:rPr>
          <w:rFonts w:ascii="Arial" w:hAnsi="Arial" w:cs="Arial"/>
          <w:sz w:val="20"/>
          <w:szCs w:val="20"/>
        </w:rPr>
        <w:t>νσεις</w:t>
      </w:r>
      <w:proofErr w:type="spellEnd"/>
    </w:p>
    <w:p w14:paraId="34927CDB" w14:textId="07D77068" w:rsidR="0028546A" w:rsidRDefault="0028546A" w:rsidP="00BB6E75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Α7, Β</w:t>
      </w:r>
      <w:r>
        <w:rPr>
          <w:rFonts w:ascii="Arial" w:hAnsi="Arial" w:cs="Arial"/>
          <w:sz w:val="20"/>
          <w:szCs w:val="20"/>
        </w:rPr>
        <w:t>1</w:t>
      </w:r>
      <w:r w:rsidR="00FE6AFC" w:rsidRPr="00FE6AFC">
        <w:rPr>
          <w:rFonts w:ascii="Arial" w:hAnsi="Arial" w:cs="Arial"/>
          <w:sz w:val="20"/>
          <w:szCs w:val="20"/>
        </w:rPr>
        <w:t xml:space="preserve">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4, </w:t>
      </w:r>
      <w:r w:rsidR="00FE6AFC">
        <w:rPr>
          <w:rFonts w:ascii="Arial" w:hAnsi="Arial" w:cs="Arial"/>
          <w:sz w:val="20"/>
          <w:szCs w:val="20"/>
          <w:lang w:val="en-US"/>
        </w:rPr>
        <w:t>B</w:t>
      </w:r>
      <w:r w:rsidR="00FE6AFC" w:rsidRPr="00FE6AFC">
        <w:rPr>
          <w:rFonts w:ascii="Arial" w:hAnsi="Arial" w:cs="Arial"/>
          <w:sz w:val="20"/>
          <w:szCs w:val="20"/>
        </w:rPr>
        <w:t xml:space="preserve">6 </w:t>
      </w:r>
      <w:r w:rsidRPr="00A045A2">
        <w:rPr>
          <w:rFonts w:ascii="Arial" w:hAnsi="Arial" w:cs="Arial"/>
          <w:sz w:val="20"/>
          <w:szCs w:val="20"/>
        </w:rPr>
        <w:t>Δ/</w:t>
      </w:r>
      <w:proofErr w:type="spellStart"/>
      <w:r w:rsidRPr="00A045A2">
        <w:rPr>
          <w:rFonts w:ascii="Arial" w:hAnsi="Arial" w:cs="Arial"/>
          <w:sz w:val="20"/>
          <w:szCs w:val="20"/>
        </w:rPr>
        <w:t>νσεις</w:t>
      </w:r>
      <w:proofErr w:type="spellEnd"/>
    </w:p>
    <w:p w14:paraId="582E884E" w14:textId="0A74AC1C" w:rsidR="0085709D" w:rsidRDefault="00BB6E75" w:rsidP="00EF608D">
      <w:pPr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ΜΑ ΕΕ</w:t>
      </w:r>
      <w:r w:rsidR="00EF608D">
        <w:rPr>
          <w:rFonts w:ascii="Arial" w:hAnsi="Arial" w:cs="Arial"/>
          <w:sz w:val="20"/>
          <w:szCs w:val="20"/>
        </w:rPr>
        <w:t>, ΜΑ ΟΗΕ</w:t>
      </w:r>
    </w:p>
    <w:p w14:paraId="7DA0ADE3" w14:textId="4A0D2DCE" w:rsidR="00C23BB8" w:rsidRDefault="00EF608D" w:rsidP="00C23BB8">
      <w:pPr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Πρεσβείες κ-μ ΕΕ και Γραφεία ΟΕΥ αυτών</w:t>
      </w:r>
    </w:p>
    <w:p w14:paraId="76A30934" w14:textId="755CFA66" w:rsidR="00C23BB8" w:rsidRDefault="00C23BB8" w:rsidP="00C23BB8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Προξενικές Αρχές και Γραφεία ΟΕΥ ΗΠΑ</w:t>
      </w:r>
    </w:p>
    <w:p w14:paraId="0D5A29C1" w14:textId="77777777" w:rsidR="007933C1" w:rsidRPr="009C201B" w:rsidRDefault="007933C1" w:rsidP="007933C1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9C201B">
        <w:rPr>
          <w:rFonts w:ascii="Arial" w:hAnsi="Arial" w:cs="Arial"/>
          <w:b/>
          <w:sz w:val="20"/>
          <w:szCs w:val="20"/>
        </w:rPr>
        <w:t>Υπουργείο Εθνικής Οικονομίας και Οικονομικών</w:t>
      </w:r>
      <w:r w:rsidRPr="009C201B">
        <w:rPr>
          <w:rFonts w:ascii="Arial" w:hAnsi="Arial" w:cs="Arial"/>
          <w:sz w:val="20"/>
          <w:szCs w:val="20"/>
        </w:rPr>
        <w:t xml:space="preserve"> (μέσω </w:t>
      </w:r>
      <w:r w:rsidRPr="009C201B">
        <w:rPr>
          <w:rFonts w:ascii="Arial" w:hAnsi="Arial" w:cs="Arial"/>
          <w:sz w:val="20"/>
          <w:szCs w:val="20"/>
          <w:lang w:val="en-US"/>
        </w:rPr>
        <w:t>e</w:t>
      </w:r>
      <w:r w:rsidRPr="009C201B">
        <w:rPr>
          <w:rFonts w:ascii="Arial" w:hAnsi="Arial" w:cs="Arial"/>
          <w:sz w:val="20"/>
          <w:szCs w:val="20"/>
        </w:rPr>
        <w:t>-</w:t>
      </w:r>
      <w:r w:rsidRPr="009C201B">
        <w:rPr>
          <w:rFonts w:ascii="Arial" w:hAnsi="Arial" w:cs="Arial"/>
          <w:sz w:val="20"/>
          <w:szCs w:val="20"/>
          <w:lang w:val="en-US"/>
        </w:rPr>
        <w:t>mail</w:t>
      </w:r>
      <w:r w:rsidRPr="009C201B">
        <w:rPr>
          <w:rFonts w:ascii="Arial" w:hAnsi="Arial" w:cs="Arial"/>
          <w:sz w:val="20"/>
          <w:szCs w:val="20"/>
        </w:rPr>
        <w:t>)</w:t>
      </w:r>
    </w:p>
    <w:p w14:paraId="399547AE" w14:textId="77777777" w:rsidR="007933C1" w:rsidRPr="009C201B" w:rsidRDefault="007933C1" w:rsidP="007933C1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9C201B">
        <w:rPr>
          <w:rFonts w:ascii="Arial" w:hAnsi="Arial" w:cs="Arial"/>
          <w:sz w:val="20"/>
          <w:szCs w:val="20"/>
        </w:rPr>
        <w:t>- Γραφείο κ. Υπουργού</w:t>
      </w:r>
    </w:p>
    <w:p w14:paraId="2E28F750" w14:textId="2CAB0D4A" w:rsidR="007933C1" w:rsidRPr="009C201B" w:rsidRDefault="007933C1" w:rsidP="007933C1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 w:rsidRPr="009C201B">
        <w:rPr>
          <w:rFonts w:ascii="Arial" w:hAnsi="Arial" w:cs="Arial"/>
          <w:sz w:val="20"/>
          <w:szCs w:val="20"/>
        </w:rPr>
        <w:t xml:space="preserve">- Υπ’ όψιν </w:t>
      </w:r>
      <w:proofErr w:type="spellStart"/>
      <w:r w:rsidRPr="009C201B">
        <w:rPr>
          <w:rFonts w:ascii="Arial" w:hAnsi="Arial" w:cs="Arial"/>
          <w:sz w:val="20"/>
          <w:szCs w:val="20"/>
        </w:rPr>
        <w:t>Διπλ</w:t>
      </w:r>
      <w:proofErr w:type="spellEnd"/>
      <w:r w:rsidRPr="009C201B">
        <w:rPr>
          <w:rFonts w:ascii="Arial" w:hAnsi="Arial" w:cs="Arial"/>
          <w:sz w:val="20"/>
          <w:szCs w:val="20"/>
        </w:rPr>
        <w:t>. Συμβούλου</w:t>
      </w:r>
    </w:p>
    <w:p w14:paraId="25568670" w14:textId="064F602B" w:rsidR="0085709D" w:rsidRDefault="0085709D" w:rsidP="0085709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9C201B">
        <w:rPr>
          <w:rFonts w:ascii="Arial" w:hAnsi="Arial" w:cs="Arial"/>
          <w:b/>
          <w:sz w:val="20"/>
          <w:szCs w:val="20"/>
        </w:rPr>
        <w:t xml:space="preserve">Υπουργείο </w:t>
      </w:r>
      <w:r w:rsidR="00BB68E8" w:rsidRPr="009C201B">
        <w:rPr>
          <w:rFonts w:ascii="Arial" w:hAnsi="Arial" w:cs="Arial"/>
          <w:b/>
          <w:sz w:val="20"/>
          <w:szCs w:val="20"/>
          <w:lang w:val="en-US"/>
        </w:rPr>
        <w:t>A</w:t>
      </w:r>
      <w:proofErr w:type="spellStart"/>
      <w:r w:rsidR="00BB68E8" w:rsidRPr="009C201B">
        <w:rPr>
          <w:rFonts w:ascii="Arial" w:hAnsi="Arial" w:cs="Arial"/>
          <w:b/>
          <w:sz w:val="20"/>
          <w:szCs w:val="20"/>
        </w:rPr>
        <w:t>νάπτυξης</w:t>
      </w:r>
      <w:proofErr w:type="spellEnd"/>
      <w:r w:rsidR="00E84048" w:rsidRPr="009C201B">
        <w:rPr>
          <w:rFonts w:ascii="Arial" w:hAnsi="Arial" w:cs="Arial"/>
          <w:sz w:val="20"/>
          <w:szCs w:val="20"/>
        </w:rPr>
        <w:t xml:space="preserve"> (μέσω </w:t>
      </w:r>
      <w:r w:rsidR="00E84048" w:rsidRPr="009C201B">
        <w:rPr>
          <w:rFonts w:ascii="Arial" w:hAnsi="Arial" w:cs="Arial"/>
          <w:sz w:val="20"/>
          <w:szCs w:val="20"/>
          <w:lang w:val="en-US"/>
        </w:rPr>
        <w:t>e</w:t>
      </w:r>
      <w:r w:rsidR="00E84048" w:rsidRPr="009C201B">
        <w:rPr>
          <w:rFonts w:ascii="Arial" w:hAnsi="Arial" w:cs="Arial"/>
          <w:sz w:val="20"/>
          <w:szCs w:val="20"/>
        </w:rPr>
        <w:t>-</w:t>
      </w:r>
      <w:r w:rsidR="00E84048" w:rsidRPr="009C201B">
        <w:rPr>
          <w:rFonts w:ascii="Arial" w:hAnsi="Arial" w:cs="Arial"/>
          <w:sz w:val="20"/>
          <w:szCs w:val="20"/>
          <w:lang w:val="en-US"/>
        </w:rPr>
        <w:t>mail</w:t>
      </w:r>
      <w:r w:rsidR="00E84048" w:rsidRPr="009C201B">
        <w:rPr>
          <w:rFonts w:ascii="Arial" w:hAnsi="Arial" w:cs="Arial"/>
          <w:sz w:val="20"/>
          <w:szCs w:val="20"/>
        </w:rPr>
        <w:t>)</w:t>
      </w:r>
    </w:p>
    <w:p w14:paraId="5CCA5D71" w14:textId="00419AF9" w:rsidR="0085709D" w:rsidRDefault="0085709D" w:rsidP="0085709D">
      <w:pPr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Γραφείο κ. Υπουργού</w:t>
      </w:r>
    </w:p>
    <w:p w14:paraId="5794472E" w14:textId="3CC73DEC" w:rsidR="0085709D" w:rsidRDefault="0085709D" w:rsidP="00EF608D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Υπ’ όψιν </w:t>
      </w:r>
      <w:proofErr w:type="spellStart"/>
      <w:r>
        <w:rPr>
          <w:rFonts w:ascii="Arial" w:hAnsi="Arial" w:cs="Arial"/>
          <w:sz w:val="20"/>
          <w:szCs w:val="20"/>
        </w:rPr>
        <w:t>Διπλ</w:t>
      </w:r>
      <w:proofErr w:type="spellEnd"/>
      <w:r>
        <w:rPr>
          <w:rFonts w:ascii="Arial" w:hAnsi="Arial" w:cs="Arial"/>
          <w:sz w:val="20"/>
          <w:szCs w:val="20"/>
        </w:rPr>
        <w:t>. Συμβούλου</w:t>
      </w:r>
    </w:p>
    <w:p w14:paraId="6587A6BB" w14:textId="77777777" w:rsidR="00BA1A01" w:rsidRDefault="00BA1A01" w:rsidP="00BA1A01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 w:rsidRPr="00BA1A0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Επιχειρηματικούς συνδέσμους </w:t>
      </w:r>
      <w:r w:rsidRPr="004279E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μέσω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4279E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4279E2">
        <w:rPr>
          <w:rFonts w:ascii="Arial" w:hAnsi="Arial" w:cs="Arial"/>
          <w:sz w:val="20"/>
          <w:szCs w:val="20"/>
        </w:rPr>
        <w:t>)</w:t>
      </w:r>
    </w:p>
    <w:p w14:paraId="748DD512" w14:textId="126BC691" w:rsidR="00C23BB8" w:rsidRDefault="0028546A" w:rsidP="00E12F9C">
      <w:pPr>
        <w:tabs>
          <w:tab w:val="center" w:pos="5760"/>
        </w:tabs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b/>
          <w:sz w:val="20"/>
          <w:szCs w:val="20"/>
        </w:rPr>
        <w:t>Ε.Δ.:</w:t>
      </w:r>
      <w:r w:rsidRPr="00E12F9C">
        <w:rPr>
          <w:rFonts w:ascii="Arial" w:hAnsi="Arial" w:cs="Arial"/>
          <w:sz w:val="20"/>
          <w:szCs w:val="20"/>
        </w:rPr>
        <w:t xml:space="preserve"> Πρεσβεία Ουάσιγκτων</w:t>
      </w:r>
    </w:p>
    <w:p w14:paraId="4BAD67C4" w14:textId="77777777" w:rsidR="00C87FB1" w:rsidRPr="00E12F9C" w:rsidRDefault="00C87FB1" w:rsidP="00E12F9C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</w:p>
    <w:p w14:paraId="7FE6A3F6" w14:textId="4FE447FD" w:rsidR="006A51FC" w:rsidRPr="00C23BB8" w:rsidRDefault="0028546A" w:rsidP="00C87FB1">
      <w:pPr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b/>
          <w:sz w:val="20"/>
          <w:szCs w:val="20"/>
        </w:rPr>
        <w:t>Θέμα</w:t>
      </w:r>
      <w:r w:rsidR="00C23BB8" w:rsidRPr="00C23BB8">
        <w:rPr>
          <w:rFonts w:ascii="Arial" w:hAnsi="Arial" w:cs="Arial"/>
          <w:sz w:val="20"/>
          <w:szCs w:val="20"/>
        </w:rPr>
        <w:t>:</w:t>
      </w:r>
      <w:r w:rsidR="00C23BB8">
        <w:rPr>
          <w:rFonts w:ascii="Arial" w:hAnsi="Arial" w:cs="Arial"/>
          <w:sz w:val="20"/>
          <w:szCs w:val="20"/>
        </w:rPr>
        <w:t xml:space="preserve"> Εκτίμηση συνεπειών νέων δασμών ΗΠΑ επί ελληνικών εξαγωγών</w:t>
      </w:r>
    </w:p>
    <w:p w14:paraId="47EB9A61" w14:textId="5D6F0990" w:rsidR="00E12F9C" w:rsidRDefault="00E12F9C" w:rsidP="00C87FB1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spellStart"/>
      <w:r w:rsidRPr="00E12F9C">
        <w:rPr>
          <w:rFonts w:ascii="Arial" w:hAnsi="Arial" w:cs="Arial"/>
          <w:b/>
          <w:sz w:val="20"/>
          <w:szCs w:val="20"/>
        </w:rPr>
        <w:t>Σχετ</w:t>
      </w:r>
      <w:proofErr w:type="spellEnd"/>
      <w:r w:rsidRPr="00E12F9C">
        <w:rPr>
          <w:rFonts w:ascii="Arial" w:hAnsi="Arial" w:cs="Arial"/>
          <w:b/>
          <w:sz w:val="20"/>
          <w:szCs w:val="20"/>
        </w:rPr>
        <w:t xml:space="preserve">.: </w:t>
      </w:r>
      <w:r w:rsidR="0050019F">
        <w:rPr>
          <w:rFonts w:ascii="Arial" w:hAnsi="Arial" w:cs="Arial"/>
          <w:sz w:val="20"/>
          <w:szCs w:val="20"/>
        </w:rPr>
        <w:t>Έγγραφά μας</w:t>
      </w:r>
      <w:r w:rsidR="0050019F" w:rsidRPr="00E12F9C">
        <w:rPr>
          <w:rFonts w:ascii="Arial" w:hAnsi="Arial" w:cs="Arial"/>
          <w:sz w:val="20"/>
          <w:szCs w:val="20"/>
        </w:rPr>
        <w:t xml:space="preserve"> </w:t>
      </w:r>
      <w:r w:rsidRPr="00E12F9C">
        <w:rPr>
          <w:rFonts w:ascii="Arial" w:hAnsi="Arial" w:cs="Arial"/>
          <w:sz w:val="20"/>
          <w:szCs w:val="20"/>
        </w:rPr>
        <w:t>Α.Π.</w:t>
      </w:r>
      <w:r>
        <w:rPr>
          <w:rFonts w:ascii="Arial" w:hAnsi="Arial" w:cs="Arial"/>
          <w:sz w:val="20"/>
          <w:szCs w:val="20"/>
        </w:rPr>
        <w:t xml:space="preserve"> </w:t>
      </w:r>
      <w:r w:rsidR="00E11742">
        <w:rPr>
          <w:rFonts w:ascii="Arial" w:hAnsi="Arial" w:cs="Arial"/>
          <w:sz w:val="20"/>
          <w:szCs w:val="20"/>
        </w:rPr>
        <w:t xml:space="preserve">774/07.04.2026, 486/04.03.2026, </w:t>
      </w:r>
      <w:r>
        <w:rPr>
          <w:rFonts w:ascii="Arial" w:hAnsi="Arial" w:cs="Arial"/>
          <w:sz w:val="20"/>
          <w:szCs w:val="20"/>
        </w:rPr>
        <w:t xml:space="preserve">416/27.02.2026 </w:t>
      </w:r>
    </w:p>
    <w:p w14:paraId="227AD29C" w14:textId="212B6382" w:rsidR="00C23BB8" w:rsidRPr="003E78F9" w:rsidRDefault="00C23BB8" w:rsidP="00FA299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Σύνοψη</w:t>
      </w:r>
      <w:r w:rsidRPr="003E78F9">
        <w:rPr>
          <w:rFonts w:ascii="Arial" w:hAnsi="Arial" w:cs="Arial"/>
          <w:b/>
          <w:sz w:val="20"/>
          <w:szCs w:val="20"/>
        </w:rPr>
        <w:t>:</w:t>
      </w:r>
    </w:p>
    <w:p w14:paraId="125D61CE" w14:textId="71B25C1C" w:rsidR="00C23BB8" w:rsidRPr="00E11742" w:rsidRDefault="00C23BB8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20"/>
          <w:szCs w:val="20"/>
        </w:rPr>
      </w:pPr>
      <w:r w:rsidRPr="00C23B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="00463E66">
        <w:rPr>
          <w:rFonts w:ascii="Arial" w:hAnsi="Arial" w:cs="Arial"/>
          <w:sz w:val="20"/>
          <w:szCs w:val="20"/>
        </w:rPr>
        <w:t>Τ</w:t>
      </w:r>
      <w:r>
        <w:rPr>
          <w:rFonts w:ascii="Arial" w:hAnsi="Arial" w:cs="Arial"/>
          <w:sz w:val="20"/>
          <w:szCs w:val="20"/>
        </w:rPr>
        <w:t>ο ισχύον από 24</w:t>
      </w:r>
      <w:r w:rsidR="00974207" w:rsidRPr="00974207">
        <w:rPr>
          <w:rFonts w:ascii="Arial" w:hAnsi="Arial" w:cs="Arial"/>
          <w:sz w:val="20"/>
          <w:szCs w:val="20"/>
        </w:rPr>
        <w:t>.02.</w:t>
      </w:r>
      <w:r>
        <w:rPr>
          <w:rFonts w:ascii="Arial" w:hAnsi="Arial" w:cs="Arial"/>
          <w:sz w:val="20"/>
          <w:szCs w:val="20"/>
        </w:rPr>
        <w:t>2026 καθεστώς εισαγωγικών δασμών στις ΗΠΑ</w:t>
      </w:r>
      <w:r w:rsidR="00E11742">
        <w:rPr>
          <w:rFonts w:ascii="Arial" w:hAnsi="Arial" w:cs="Arial"/>
          <w:sz w:val="20"/>
          <w:szCs w:val="20"/>
        </w:rPr>
        <w:t xml:space="preserve">, με το οποίο επιβλήθηκε δασμός 10% συν τον δασμό </w:t>
      </w:r>
      <w:r w:rsidR="00E11742">
        <w:rPr>
          <w:rFonts w:ascii="Arial" w:hAnsi="Arial" w:cs="Arial"/>
          <w:sz w:val="20"/>
          <w:szCs w:val="20"/>
          <w:lang w:val="en-US"/>
        </w:rPr>
        <w:t>MFN</w:t>
      </w:r>
      <w:r w:rsidR="00E11742" w:rsidRPr="00E1174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είναι διαρκείας 150 ημερών</w:t>
      </w:r>
      <w:r w:rsidR="007A02F5">
        <w:rPr>
          <w:rFonts w:ascii="Arial" w:hAnsi="Arial" w:cs="Arial"/>
          <w:sz w:val="20"/>
          <w:szCs w:val="20"/>
        </w:rPr>
        <w:t>. Ε</w:t>
      </w:r>
      <w:r>
        <w:rPr>
          <w:rFonts w:ascii="Arial" w:hAnsi="Arial" w:cs="Arial"/>
          <w:sz w:val="20"/>
          <w:szCs w:val="20"/>
        </w:rPr>
        <w:t xml:space="preserve">κπνέει στα τέλη </w:t>
      </w:r>
      <w:r w:rsidRPr="00E11742">
        <w:rPr>
          <w:rFonts w:ascii="Arial" w:hAnsi="Arial" w:cs="Arial"/>
          <w:sz w:val="20"/>
          <w:szCs w:val="20"/>
        </w:rPr>
        <w:t>Ιουλίου 2026</w:t>
      </w:r>
      <w:r w:rsidR="00463E66">
        <w:rPr>
          <w:rFonts w:ascii="Arial" w:hAnsi="Arial" w:cs="Arial"/>
          <w:sz w:val="20"/>
          <w:szCs w:val="20"/>
        </w:rPr>
        <w:t>.</w:t>
      </w:r>
    </w:p>
    <w:p w14:paraId="797E3984" w14:textId="1BDB3907" w:rsidR="00C23BB8" w:rsidRPr="00E11742" w:rsidRDefault="00C23BB8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20"/>
          <w:szCs w:val="20"/>
        </w:rPr>
      </w:pPr>
      <w:r w:rsidRPr="00E11742">
        <w:rPr>
          <w:rFonts w:ascii="Arial" w:hAnsi="Arial" w:cs="Arial"/>
          <w:sz w:val="20"/>
          <w:szCs w:val="20"/>
        </w:rPr>
        <w:t>-</w:t>
      </w:r>
      <w:r w:rsidR="00E11742" w:rsidRPr="00E11742">
        <w:rPr>
          <w:rFonts w:ascii="Arial" w:hAnsi="Arial" w:cs="Arial"/>
          <w:sz w:val="20"/>
          <w:szCs w:val="20"/>
        </w:rPr>
        <w:t xml:space="preserve"> </w:t>
      </w:r>
      <w:r w:rsidR="00463E66">
        <w:rPr>
          <w:rFonts w:ascii="Arial" w:hAnsi="Arial" w:cs="Arial"/>
          <w:sz w:val="20"/>
          <w:szCs w:val="20"/>
        </w:rPr>
        <w:t>Μ</w:t>
      </w:r>
      <w:r w:rsidR="00E11742" w:rsidRPr="00E11742">
        <w:rPr>
          <w:rFonts w:ascii="Arial" w:hAnsi="Arial" w:cs="Arial"/>
          <w:sz w:val="20"/>
          <w:szCs w:val="20"/>
        </w:rPr>
        <w:t xml:space="preserve">ετά από τα τέλη Ιουλίου, αν δεν προβλεφθεί κάτι άλλο, θα επανέλθουμε στους γενικούς δασμούς βάσει της ρήτρας του πλέον </w:t>
      </w:r>
      <w:proofErr w:type="spellStart"/>
      <w:r w:rsidR="00E11742" w:rsidRPr="00E11742">
        <w:rPr>
          <w:rFonts w:ascii="Arial" w:hAnsi="Arial" w:cs="Arial"/>
          <w:sz w:val="20"/>
          <w:szCs w:val="20"/>
        </w:rPr>
        <w:t>ευνοουμένου</w:t>
      </w:r>
      <w:proofErr w:type="spellEnd"/>
      <w:r w:rsidR="00E11742" w:rsidRPr="00E11742">
        <w:rPr>
          <w:rFonts w:ascii="Arial" w:hAnsi="Arial" w:cs="Arial"/>
          <w:sz w:val="20"/>
          <w:szCs w:val="20"/>
        </w:rPr>
        <w:t xml:space="preserve"> κράτους (</w:t>
      </w:r>
      <w:r w:rsidR="00E11742" w:rsidRPr="00E11742">
        <w:rPr>
          <w:rFonts w:ascii="Arial" w:hAnsi="Arial" w:cs="Arial"/>
          <w:sz w:val="20"/>
          <w:szCs w:val="20"/>
          <w:lang w:val="en-US"/>
        </w:rPr>
        <w:t>MFN</w:t>
      </w:r>
      <w:r w:rsidR="00E11742" w:rsidRPr="00E11742">
        <w:rPr>
          <w:rFonts w:ascii="Arial" w:hAnsi="Arial" w:cs="Arial"/>
          <w:sz w:val="20"/>
          <w:szCs w:val="20"/>
        </w:rPr>
        <w:t>) που προβλέπε</w:t>
      </w:r>
      <w:r w:rsidR="007A02F5">
        <w:rPr>
          <w:rFonts w:ascii="Arial" w:hAnsi="Arial" w:cs="Arial"/>
          <w:sz w:val="20"/>
          <w:szCs w:val="20"/>
        </w:rPr>
        <w:t>ται σ</w:t>
      </w:r>
      <w:r w:rsidR="00E11742" w:rsidRPr="00E11742">
        <w:rPr>
          <w:rFonts w:ascii="Arial" w:hAnsi="Arial" w:cs="Arial"/>
          <w:sz w:val="20"/>
          <w:szCs w:val="20"/>
        </w:rPr>
        <w:t>το δασμολόγιο των ΗΠΑ. Πρόκειται για το καθεστώς που ίσχυε πριν από την έναρξη της 2</w:t>
      </w:r>
      <w:r w:rsidR="00E11742" w:rsidRPr="00E11742">
        <w:rPr>
          <w:rFonts w:ascii="Arial" w:hAnsi="Arial" w:cs="Arial"/>
          <w:sz w:val="20"/>
          <w:szCs w:val="20"/>
          <w:vertAlign w:val="superscript"/>
        </w:rPr>
        <w:t>ης</w:t>
      </w:r>
      <w:r w:rsidR="00E11742" w:rsidRPr="00E11742">
        <w:rPr>
          <w:rFonts w:ascii="Arial" w:hAnsi="Arial" w:cs="Arial"/>
          <w:sz w:val="20"/>
          <w:szCs w:val="20"/>
        </w:rPr>
        <w:t xml:space="preserve"> θητείας της κυβέρνησης Τραμπ</w:t>
      </w:r>
      <w:r w:rsidR="007A02F5">
        <w:rPr>
          <w:rFonts w:ascii="Arial" w:hAnsi="Arial" w:cs="Arial"/>
          <w:sz w:val="20"/>
          <w:szCs w:val="20"/>
        </w:rPr>
        <w:t xml:space="preserve"> (Νοέμβριος 2025)</w:t>
      </w:r>
      <w:r w:rsidR="00E11742" w:rsidRPr="00E11742">
        <w:rPr>
          <w:rFonts w:ascii="Arial" w:hAnsi="Arial" w:cs="Arial"/>
          <w:sz w:val="20"/>
          <w:szCs w:val="20"/>
        </w:rPr>
        <w:t>.</w:t>
      </w:r>
    </w:p>
    <w:p w14:paraId="6A626D68" w14:textId="60A567BB" w:rsidR="00E11742" w:rsidRDefault="00E11742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20"/>
          <w:szCs w:val="20"/>
        </w:rPr>
      </w:pPr>
      <w:r w:rsidRPr="00E11742">
        <w:rPr>
          <w:rFonts w:ascii="Arial" w:hAnsi="Arial" w:cs="Arial"/>
          <w:sz w:val="20"/>
          <w:szCs w:val="20"/>
        </w:rPr>
        <w:t xml:space="preserve">- </w:t>
      </w:r>
      <w:r w:rsidR="00463E66">
        <w:rPr>
          <w:rFonts w:ascii="Arial" w:hAnsi="Arial" w:cs="Arial"/>
          <w:sz w:val="20"/>
          <w:szCs w:val="20"/>
        </w:rPr>
        <w:t>Γ</w:t>
      </w:r>
      <w:r w:rsidRPr="00E11742">
        <w:rPr>
          <w:rFonts w:ascii="Arial" w:hAnsi="Arial" w:cs="Arial"/>
          <w:sz w:val="20"/>
          <w:szCs w:val="20"/>
        </w:rPr>
        <w:t xml:space="preserve">ια τα προϊόντα </w:t>
      </w:r>
      <w:r w:rsidRPr="00E11742">
        <w:rPr>
          <w:rFonts w:ascii="Arial" w:hAnsi="Arial" w:cs="Arial"/>
          <w:color w:val="000000"/>
          <w:sz w:val="20"/>
          <w:szCs w:val="20"/>
          <w:shd w:val="clear" w:color="auto" w:fill="FCFDFE"/>
        </w:rPr>
        <w:t xml:space="preserve">χάλυβα, αλουμινίου και χαλκού, από </w:t>
      </w:r>
      <w:r w:rsidR="00974207" w:rsidRPr="00974207">
        <w:rPr>
          <w:rFonts w:ascii="Arial" w:hAnsi="Arial" w:cs="Arial"/>
          <w:color w:val="000000"/>
          <w:sz w:val="20"/>
          <w:szCs w:val="20"/>
          <w:shd w:val="clear" w:color="auto" w:fill="FCFDFE"/>
        </w:rPr>
        <w:t>0</w:t>
      </w:r>
      <w:r w:rsidRPr="00E11742">
        <w:rPr>
          <w:rFonts w:ascii="Arial" w:hAnsi="Arial" w:cs="Arial"/>
          <w:color w:val="000000"/>
          <w:sz w:val="20"/>
          <w:szCs w:val="20"/>
          <w:shd w:val="clear" w:color="auto" w:fill="FCFDFE"/>
        </w:rPr>
        <w:t>2</w:t>
      </w:r>
      <w:r w:rsidR="00974207" w:rsidRPr="00974207">
        <w:rPr>
          <w:rFonts w:ascii="Arial" w:hAnsi="Arial" w:cs="Arial"/>
          <w:color w:val="000000"/>
          <w:sz w:val="20"/>
          <w:szCs w:val="20"/>
          <w:shd w:val="clear" w:color="auto" w:fill="FCFDFE"/>
        </w:rPr>
        <w:t>.04.</w:t>
      </w:r>
      <w:r w:rsidRPr="00E11742">
        <w:rPr>
          <w:rFonts w:ascii="Arial" w:hAnsi="Arial" w:cs="Arial"/>
          <w:color w:val="000000"/>
          <w:sz w:val="20"/>
          <w:szCs w:val="20"/>
          <w:shd w:val="clear" w:color="auto" w:fill="FCFDFE"/>
        </w:rPr>
        <w:t xml:space="preserve">2026, ισχύει δασμός 50% και </w:t>
      </w:r>
      <w:r w:rsidR="007A02F5">
        <w:rPr>
          <w:rFonts w:ascii="Arial" w:hAnsi="Arial" w:cs="Arial"/>
          <w:color w:val="000000"/>
          <w:sz w:val="20"/>
          <w:szCs w:val="20"/>
          <w:shd w:val="clear" w:color="auto" w:fill="FCFDFE"/>
        </w:rPr>
        <w:t xml:space="preserve">για </w:t>
      </w:r>
      <w:r w:rsidRPr="00E11742">
        <w:rPr>
          <w:rFonts w:ascii="Arial" w:hAnsi="Arial" w:cs="Arial"/>
          <w:color w:val="000000"/>
          <w:sz w:val="20"/>
          <w:szCs w:val="20"/>
          <w:shd w:val="clear" w:color="auto" w:fill="FCFDFE"/>
        </w:rPr>
        <w:t xml:space="preserve">τα παράγωγά τους 25% (βλ. ανωτέρω έγγραφό μας </w:t>
      </w:r>
      <w:r w:rsidRPr="00E11742">
        <w:rPr>
          <w:rFonts w:ascii="Arial" w:hAnsi="Arial" w:cs="Arial"/>
          <w:sz w:val="20"/>
          <w:szCs w:val="20"/>
        </w:rPr>
        <w:t>774/07.04.2026</w:t>
      </w:r>
      <w:r>
        <w:rPr>
          <w:rFonts w:ascii="Arial" w:hAnsi="Arial" w:cs="Arial"/>
          <w:sz w:val="20"/>
          <w:szCs w:val="20"/>
        </w:rPr>
        <w:t>)</w:t>
      </w:r>
      <w:r w:rsidR="00463E66">
        <w:rPr>
          <w:rFonts w:ascii="Arial" w:hAnsi="Arial" w:cs="Arial"/>
          <w:sz w:val="20"/>
          <w:szCs w:val="20"/>
        </w:rPr>
        <w:t>.</w:t>
      </w:r>
    </w:p>
    <w:p w14:paraId="785AD84A" w14:textId="737454BC" w:rsidR="00FA299F" w:rsidRDefault="00E11742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="007A02F5">
        <w:rPr>
          <w:rFonts w:ascii="Arial" w:hAnsi="Arial" w:cs="Arial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 xml:space="preserve">ε εξέλιξη </w:t>
      </w:r>
      <w:r w:rsidR="007A02F5">
        <w:rPr>
          <w:rFonts w:ascii="Arial" w:hAnsi="Arial" w:cs="Arial"/>
          <w:sz w:val="20"/>
          <w:szCs w:val="20"/>
        </w:rPr>
        <w:t xml:space="preserve">βρίσκονται </w:t>
      </w:r>
      <w:r>
        <w:rPr>
          <w:rFonts w:ascii="Arial" w:hAnsi="Arial" w:cs="Arial"/>
          <w:sz w:val="20"/>
          <w:szCs w:val="20"/>
        </w:rPr>
        <w:t xml:space="preserve">6 διαδικασίες έρευνας </w:t>
      </w:r>
      <w:r w:rsidR="00FA299F">
        <w:rPr>
          <w:rFonts w:ascii="Arial" w:hAnsi="Arial" w:cs="Arial"/>
          <w:sz w:val="20"/>
          <w:szCs w:val="20"/>
        </w:rPr>
        <w:t>(</w:t>
      </w:r>
      <w:r w:rsidR="00FA299F">
        <w:rPr>
          <w:rFonts w:ascii="Arial" w:hAnsi="Arial" w:cs="Arial"/>
          <w:sz w:val="20"/>
          <w:szCs w:val="20"/>
          <w:lang w:val="en-US"/>
        </w:rPr>
        <w:t>investigations</w:t>
      </w:r>
      <w:r w:rsidR="00FA299F" w:rsidRPr="00FA299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βάσει του Άρθρου 232 και 2 διαδικασίες βάσει του Άρθρου 301. Αναμένεται να ολοκληρωθούν εντός </w:t>
      </w:r>
      <w:r w:rsidR="007A02F5">
        <w:rPr>
          <w:rFonts w:ascii="Arial" w:hAnsi="Arial" w:cs="Arial"/>
          <w:sz w:val="20"/>
          <w:szCs w:val="20"/>
        </w:rPr>
        <w:t>των προσεχών μηνών</w:t>
      </w:r>
      <w:r>
        <w:rPr>
          <w:rFonts w:ascii="Arial" w:hAnsi="Arial" w:cs="Arial"/>
          <w:sz w:val="20"/>
          <w:szCs w:val="20"/>
        </w:rPr>
        <w:t xml:space="preserve"> και βάσει αυτών να επιβληθούν πρόσθετοι δασμοί σε συγκεκριμένες κατηγορίες προϊόντων</w:t>
      </w:r>
      <w:r w:rsidR="00463E66">
        <w:rPr>
          <w:rFonts w:ascii="Arial" w:hAnsi="Arial" w:cs="Arial"/>
          <w:sz w:val="20"/>
          <w:szCs w:val="20"/>
        </w:rPr>
        <w:t>.</w:t>
      </w:r>
    </w:p>
    <w:p w14:paraId="5CEE196D" w14:textId="3F3BEEC2" w:rsidR="00463E66" w:rsidRDefault="00FA299F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463E66">
        <w:rPr>
          <w:rFonts w:ascii="Arial" w:hAnsi="Arial" w:cs="Arial"/>
          <w:sz w:val="20"/>
          <w:szCs w:val="20"/>
        </w:rPr>
        <w:t xml:space="preserve">Εκτιμούμε ότι </w:t>
      </w:r>
      <w:r>
        <w:rPr>
          <w:rFonts w:ascii="Arial" w:hAnsi="Arial" w:cs="Arial"/>
          <w:sz w:val="20"/>
          <w:szCs w:val="20"/>
        </w:rPr>
        <w:t xml:space="preserve">αυτές </w:t>
      </w:r>
      <w:r w:rsidR="00463E66">
        <w:rPr>
          <w:rFonts w:ascii="Arial" w:hAnsi="Arial" w:cs="Arial"/>
          <w:sz w:val="20"/>
          <w:szCs w:val="20"/>
        </w:rPr>
        <w:t xml:space="preserve">οι </w:t>
      </w:r>
      <w:r w:rsidR="007A02F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έρευνες βάσει του Άρθρου 232 αθροιστικά επηρεάζουν ελληνικές εξαγωγές που το 2025 αντιστοιχούσαν σ</w:t>
      </w:r>
      <w:r w:rsidR="007A02F5">
        <w:rPr>
          <w:rFonts w:ascii="Arial" w:hAnsi="Arial" w:cs="Arial"/>
          <w:sz w:val="20"/>
          <w:szCs w:val="20"/>
        </w:rPr>
        <w:t>το</w:t>
      </w:r>
      <w:r>
        <w:rPr>
          <w:rFonts w:ascii="Arial" w:hAnsi="Arial" w:cs="Arial"/>
          <w:sz w:val="20"/>
          <w:szCs w:val="20"/>
        </w:rPr>
        <w:t xml:space="preserve"> 0,49% του συνόλου</w:t>
      </w:r>
      <w:r w:rsidR="007A02F5">
        <w:rPr>
          <w:rFonts w:ascii="Arial" w:hAnsi="Arial" w:cs="Arial"/>
          <w:sz w:val="20"/>
          <w:szCs w:val="20"/>
        </w:rPr>
        <w:t xml:space="preserve"> των ελληνικών εξαγωγών στις </w:t>
      </w:r>
      <w:r w:rsidR="007A02F5">
        <w:rPr>
          <w:rFonts w:ascii="Arial" w:hAnsi="Arial" w:cs="Arial"/>
          <w:sz w:val="20"/>
          <w:szCs w:val="20"/>
        </w:rPr>
        <w:lastRenderedPageBreak/>
        <w:t>ΗΠΑ</w:t>
      </w:r>
      <w:r>
        <w:rPr>
          <w:rFonts w:ascii="Arial" w:hAnsi="Arial" w:cs="Arial"/>
          <w:sz w:val="20"/>
          <w:szCs w:val="20"/>
        </w:rPr>
        <w:t xml:space="preserve">. Σε ό,τι αφορά τις </w:t>
      </w:r>
      <w:r w:rsidR="007A02F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διαδικασίες βάσει του Άρθρου 301, η μεν μία δεν μας επηρεάζει γιατί αφορά παραγωγή με αναγκαστική εργασία, ενώ η άλλη αφορά «πλεονάζουσα παραγωγή», περίπτωση που μάλλον δεν θα έχει εφαρμογή σε ελληνικά εξαγώγιμα προϊόντα.</w:t>
      </w:r>
    </w:p>
    <w:p w14:paraId="0DC92814" w14:textId="6CC7D066" w:rsidR="007A02F5" w:rsidRPr="00316371" w:rsidRDefault="00FA299F" w:rsidP="00FA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70" w:hanging="1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7A02F5">
        <w:rPr>
          <w:rFonts w:ascii="Arial" w:hAnsi="Arial" w:cs="Arial"/>
          <w:b/>
          <w:sz w:val="20"/>
          <w:szCs w:val="20"/>
        </w:rPr>
        <w:t>Συνεπώς, θεωρούμε ότι μετά από τα τέλη Ιουλίου, η δασμολογική αντιμετώπιση των ελληνικών εξαγωγών θα είναι παρόμοια με αυτή που ίσχυε πριν από την 2</w:t>
      </w:r>
      <w:r w:rsidRPr="007A02F5">
        <w:rPr>
          <w:rFonts w:ascii="Arial" w:hAnsi="Arial" w:cs="Arial"/>
          <w:b/>
          <w:sz w:val="20"/>
          <w:szCs w:val="20"/>
          <w:vertAlign w:val="superscript"/>
        </w:rPr>
        <w:t>η</w:t>
      </w:r>
      <w:r w:rsidRPr="007A02F5">
        <w:rPr>
          <w:rFonts w:ascii="Arial" w:hAnsi="Arial" w:cs="Arial"/>
          <w:b/>
          <w:sz w:val="20"/>
          <w:szCs w:val="20"/>
        </w:rPr>
        <w:t xml:space="preserve"> θητεία Τραμπ (Νοέμβριος 2025), </w:t>
      </w:r>
      <w:r w:rsidR="00DF182F">
        <w:rPr>
          <w:rFonts w:ascii="Arial" w:hAnsi="Arial" w:cs="Arial"/>
          <w:b/>
          <w:sz w:val="20"/>
          <w:szCs w:val="20"/>
        </w:rPr>
        <w:t xml:space="preserve">δηλαδή πριν από την επιβολή δασμών, </w:t>
      </w:r>
      <w:r w:rsidRPr="007A02F5">
        <w:rPr>
          <w:rFonts w:ascii="Arial" w:hAnsi="Arial" w:cs="Arial"/>
          <w:b/>
          <w:sz w:val="20"/>
          <w:szCs w:val="20"/>
        </w:rPr>
        <w:t xml:space="preserve">με </w:t>
      </w:r>
      <w:r w:rsidR="00DF182F">
        <w:rPr>
          <w:rFonts w:ascii="Arial" w:hAnsi="Arial" w:cs="Arial"/>
          <w:b/>
          <w:sz w:val="20"/>
          <w:szCs w:val="20"/>
        </w:rPr>
        <w:t xml:space="preserve">κύρια </w:t>
      </w:r>
      <w:r w:rsidRPr="007A02F5">
        <w:rPr>
          <w:rFonts w:ascii="Arial" w:hAnsi="Arial" w:cs="Arial"/>
          <w:b/>
          <w:sz w:val="20"/>
          <w:szCs w:val="20"/>
        </w:rPr>
        <w:t xml:space="preserve">εξαίρεση τα προϊόντα </w:t>
      </w:r>
      <w:r w:rsidRPr="007A02F5">
        <w:rPr>
          <w:rFonts w:ascii="Arial" w:hAnsi="Arial" w:cs="Arial"/>
          <w:b/>
          <w:color w:val="000000"/>
          <w:sz w:val="20"/>
          <w:szCs w:val="20"/>
          <w:shd w:val="clear" w:color="auto" w:fill="FCFDFE"/>
        </w:rPr>
        <w:t>χάλυβα, αλουμινίου και χαλκού και τα παράγωγά τους.</w:t>
      </w:r>
    </w:p>
    <w:p w14:paraId="734C6408" w14:textId="2B1C17C8" w:rsidR="00DF182F" w:rsidRDefault="00DF182F" w:rsidP="00DF182F">
      <w:pPr>
        <w:spacing w:after="120"/>
        <w:ind w:hanging="810"/>
        <w:jc w:val="both"/>
        <w:rPr>
          <w:rFonts w:ascii="Arial" w:hAnsi="Arial" w:cs="Arial"/>
          <w:sz w:val="16"/>
          <w:szCs w:val="16"/>
        </w:rPr>
      </w:pPr>
    </w:p>
    <w:bookmarkStart w:id="3" w:name="_MON_1839501699"/>
    <w:bookmarkEnd w:id="3"/>
    <w:p w14:paraId="6FC91CB5" w14:textId="5E77F6CA" w:rsidR="00DF182F" w:rsidRDefault="00DF182F" w:rsidP="00DF182F">
      <w:pPr>
        <w:spacing w:after="120"/>
        <w:ind w:hanging="810"/>
        <w:jc w:val="both"/>
        <w:rPr>
          <w:rFonts w:ascii="Arial" w:hAnsi="Arial" w:cs="Arial"/>
          <w:sz w:val="16"/>
          <w:szCs w:val="16"/>
        </w:rPr>
      </w:pPr>
      <w:r>
        <w:object w:dxaOrig="10471" w:dyaOrig="10095" w14:anchorId="1A654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23.5pt;height:504.75pt" o:ole="">
            <v:imagedata r:id="rId9" o:title=""/>
          </v:shape>
          <o:OLEObject Type="Embed" ProgID="Excel.Sheet.12" ShapeID="_x0000_i1046" DrawAspect="Content" ObjectID="_1839501827" r:id="rId10"/>
        </w:object>
      </w:r>
    </w:p>
    <w:p w14:paraId="3D9E76AC" w14:textId="207A2303" w:rsidR="00316371" w:rsidRDefault="00DF182F" w:rsidP="00755C86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Πηγές</w:t>
      </w:r>
      <w:r w:rsidRPr="00DF182F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>Federal</w:t>
      </w:r>
      <w:r w:rsidRPr="00DF18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Registry</w:t>
      </w:r>
      <w:r w:rsidRPr="00DF182F">
        <w:rPr>
          <w:rFonts w:ascii="Arial" w:hAnsi="Arial" w:cs="Arial"/>
          <w:sz w:val="16"/>
          <w:szCs w:val="16"/>
        </w:rPr>
        <w:t xml:space="preserve">, </w:t>
      </w:r>
      <w:r w:rsidR="00316371" w:rsidRPr="00316371">
        <w:rPr>
          <w:rFonts w:ascii="Arial" w:hAnsi="Arial" w:cs="Arial"/>
          <w:sz w:val="16"/>
          <w:szCs w:val="16"/>
        </w:rPr>
        <w:t>Στοιχεία ΕΛΣΤΑΤ, επεξεργασία Γραφείο ΟΕΥ Ουάσιγκτων</w:t>
      </w:r>
    </w:p>
    <w:p w14:paraId="24388168" w14:textId="77777777" w:rsidR="00DF182F" w:rsidRDefault="00DF182F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6B3D070" w14:textId="44379AC0" w:rsidR="007A02F5" w:rsidRPr="00577106" w:rsidRDefault="00A60C38" w:rsidP="00755C8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77106">
        <w:rPr>
          <w:rFonts w:ascii="Arial" w:hAnsi="Arial" w:cs="Arial"/>
          <w:b/>
          <w:sz w:val="20"/>
          <w:szCs w:val="20"/>
        </w:rPr>
        <w:lastRenderedPageBreak/>
        <w:t xml:space="preserve">Ιστορικό: </w:t>
      </w:r>
    </w:p>
    <w:p w14:paraId="6798F399" w14:textId="7EF26AB2" w:rsidR="007A02F5" w:rsidRDefault="00A60C38" w:rsidP="00755C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sz w:val="20"/>
          <w:szCs w:val="20"/>
        </w:rPr>
        <w:t>Στις 20</w:t>
      </w:r>
      <w:r w:rsidR="00E12B72">
        <w:rPr>
          <w:rFonts w:ascii="Arial" w:hAnsi="Arial" w:cs="Arial"/>
          <w:sz w:val="20"/>
          <w:szCs w:val="20"/>
        </w:rPr>
        <w:t>.0</w:t>
      </w:r>
      <w:r w:rsidRPr="00E12F9C">
        <w:rPr>
          <w:rFonts w:ascii="Arial" w:hAnsi="Arial" w:cs="Arial"/>
          <w:sz w:val="20"/>
          <w:szCs w:val="20"/>
        </w:rPr>
        <w:t>2</w:t>
      </w:r>
      <w:r w:rsidR="00E12B72">
        <w:rPr>
          <w:rFonts w:ascii="Arial" w:hAnsi="Arial" w:cs="Arial"/>
          <w:sz w:val="20"/>
          <w:szCs w:val="20"/>
        </w:rPr>
        <w:t>.</w:t>
      </w:r>
      <w:r w:rsidRPr="00E12F9C">
        <w:rPr>
          <w:rFonts w:ascii="Arial" w:hAnsi="Arial" w:cs="Arial"/>
          <w:sz w:val="20"/>
          <w:szCs w:val="20"/>
        </w:rPr>
        <w:t>2026, το Ανώτατο Δικαστήριο των ΗΠΑ αποφάνθηκε ότι ο Πρόεδρος</w:t>
      </w:r>
      <w:r>
        <w:rPr>
          <w:rFonts w:ascii="Arial" w:hAnsi="Arial" w:cs="Arial"/>
          <w:sz w:val="20"/>
          <w:szCs w:val="20"/>
        </w:rPr>
        <w:t xml:space="preserve"> </w:t>
      </w:r>
      <w:r w:rsidR="007A02F5">
        <w:rPr>
          <w:rFonts w:ascii="Arial" w:hAnsi="Arial" w:cs="Arial"/>
          <w:sz w:val="20"/>
          <w:szCs w:val="20"/>
        </w:rPr>
        <w:t>Τραμπ</w:t>
      </w:r>
      <w:r w:rsidRPr="00E12F9C">
        <w:rPr>
          <w:rFonts w:ascii="Arial" w:hAnsi="Arial" w:cs="Arial"/>
          <w:sz w:val="20"/>
          <w:szCs w:val="20"/>
        </w:rPr>
        <w:t xml:space="preserve"> δεν έχει εξουσία </w:t>
      </w:r>
      <w:r w:rsidR="007A02F5">
        <w:rPr>
          <w:rFonts w:ascii="Arial" w:hAnsi="Arial" w:cs="Arial"/>
          <w:sz w:val="20"/>
          <w:szCs w:val="20"/>
        </w:rPr>
        <w:t xml:space="preserve">επιβολής ανταποδοτικών </w:t>
      </w:r>
      <w:r w:rsidR="00E12B72">
        <w:rPr>
          <w:rFonts w:ascii="Arial" w:hAnsi="Arial" w:cs="Arial"/>
          <w:sz w:val="20"/>
          <w:szCs w:val="20"/>
        </w:rPr>
        <w:t>εισαγωγικ</w:t>
      </w:r>
      <w:r w:rsidR="007A02F5">
        <w:rPr>
          <w:rFonts w:ascii="Arial" w:hAnsi="Arial" w:cs="Arial"/>
          <w:sz w:val="20"/>
          <w:szCs w:val="20"/>
        </w:rPr>
        <w:t>ών</w:t>
      </w:r>
      <w:r w:rsidR="00E12B72">
        <w:rPr>
          <w:rFonts w:ascii="Arial" w:hAnsi="Arial" w:cs="Arial"/>
          <w:sz w:val="20"/>
          <w:szCs w:val="20"/>
        </w:rPr>
        <w:t xml:space="preserve"> </w:t>
      </w:r>
      <w:r w:rsidRPr="00E12F9C">
        <w:rPr>
          <w:rFonts w:ascii="Arial" w:hAnsi="Arial" w:cs="Arial"/>
          <w:sz w:val="20"/>
          <w:szCs w:val="20"/>
        </w:rPr>
        <w:t>δασμ</w:t>
      </w:r>
      <w:r w:rsidR="007A02F5">
        <w:rPr>
          <w:rFonts w:ascii="Arial" w:hAnsi="Arial" w:cs="Arial"/>
          <w:sz w:val="20"/>
          <w:szCs w:val="20"/>
        </w:rPr>
        <w:t>ών</w:t>
      </w:r>
      <w:r w:rsidRPr="00E12F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βάσει</w:t>
      </w:r>
      <w:r w:rsidRPr="00E12F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του </w:t>
      </w:r>
      <w:r w:rsidRPr="00E12F9C">
        <w:rPr>
          <w:rFonts w:ascii="Arial" w:hAnsi="Arial" w:cs="Arial"/>
          <w:sz w:val="20"/>
          <w:szCs w:val="20"/>
        </w:rPr>
        <w:t>Νόμο</w:t>
      </w:r>
      <w:r>
        <w:rPr>
          <w:rFonts w:ascii="Arial" w:hAnsi="Arial" w:cs="Arial"/>
          <w:sz w:val="20"/>
          <w:szCs w:val="20"/>
        </w:rPr>
        <w:t>υ</w:t>
      </w:r>
      <w:r w:rsidRPr="00E12F9C">
        <w:rPr>
          <w:rFonts w:ascii="Arial" w:hAnsi="Arial" w:cs="Arial"/>
          <w:sz w:val="20"/>
          <w:szCs w:val="20"/>
        </w:rPr>
        <w:t xml:space="preserve"> περί </w:t>
      </w:r>
      <w:r>
        <w:rPr>
          <w:rFonts w:ascii="Arial" w:hAnsi="Arial" w:cs="Arial"/>
          <w:sz w:val="20"/>
          <w:szCs w:val="20"/>
        </w:rPr>
        <w:t xml:space="preserve">Διεθνών </w:t>
      </w:r>
      <w:r w:rsidRPr="00E12F9C">
        <w:rPr>
          <w:rFonts w:ascii="Arial" w:hAnsi="Arial" w:cs="Arial"/>
          <w:sz w:val="20"/>
          <w:szCs w:val="20"/>
        </w:rPr>
        <w:t>Οικονομικών Εξουσιών Έκτακτης Ανάγκης (IEEPA)</w:t>
      </w:r>
      <w:r w:rsidR="007A02F5">
        <w:rPr>
          <w:rFonts w:ascii="Arial" w:hAnsi="Arial" w:cs="Arial"/>
          <w:sz w:val="20"/>
          <w:szCs w:val="20"/>
        </w:rPr>
        <w:t>.</w:t>
      </w:r>
      <w:r w:rsidR="00C81374">
        <w:rPr>
          <w:rFonts w:ascii="Arial" w:hAnsi="Arial" w:cs="Arial"/>
          <w:sz w:val="20"/>
          <w:szCs w:val="20"/>
        </w:rPr>
        <w:t xml:space="preserve"> </w:t>
      </w:r>
      <w:r w:rsidR="00C81374" w:rsidRPr="00E12F9C">
        <w:rPr>
          <w:rFonts w:ascii="Arial" w:hAnsi="Arial" w:cs="Arial"/>
          <w:sz w:val="20"/>
          <w:szCs w:val="20"/>
        </w:rPr>
        <w:t>Συνεπ</w:t>
      </w:r>
      <w:r w:rsidR="007A02F5">
        <w:rPr>
          <w:rFonts w:ascii="Arial" w:hAnsi="Arial" w:cs="Arial"/>
          <w:sz w:val="20"/>
          <w:szCs w:val="20"/>
        </w:rPr>
        <w:t xml:space="preserve">ώς, </w:t>
      </w:r>
      <w:r w:rsidR="00C81374" w:rsidRPr="00E12F9C">
        <w:rPr>
          <w:rFonts w:ascii="Arial" w:hAnsi="Arial" w:cs="Arial"/>
          <w:sz w:val="20"/>
          <w:szCs w:val="20"/>
        </w:rPr>
        <w:t>ακυρώ</w:t>
      </w:r>
      <w:r w:rsidR="00C81374">
        <w:rPr>
          <w:rFonts w:ascii="Arial" w:hAnsi="Arial" w:cs="Arial"/>
          <w:sz w:val="20"/>
          <w:szCs w:val="20"/>
        </w:rPr>
        <w:t>θηκαν</w:t>
      </w:r>
      <w:r w:rsidR="00C81374" w:rsidRPr="00E12F9C">
        <w:rPr>
          <w:rFonts w:ascii="Arial" w:hAnsi="Arial" w:cs="Arial"/>
          <w:sz w:val="20"/>
          <w:szCs w:val="20"/>
        </w:rPr>
        <w:t xml:space="preserve"> οι </w:t>
      </w:r>
      <w:r w:rsidR="00C81374">
        <w:rPr>
          <w:rFonts w:ascii="Arial" w:hAnsi="Arial" w:cs="Arial"/>
          <w:sz w:val="20"/>
          <w:szCs w:val="20"/>
        </w:rPr>
        <w:t xml:space="preserve">ανταποδοτικοί </w:t>
      </w:r>
      <w:r w:rsidR="00C81374" w:rsidRPr="00E12F9C">
        <w:rPr>
          <w:rFonts w:ascii="Arial" w:hAnsi="Arial" w:cs="Arial"/>
          <w:sz w:val="20"/>
          <w:szCs w:val="20"/>
        </w:rPr>
        <w:t>δασμοί</w:t>
      </w:r>
      <w:r w:rsidR="00C81374">
        <w:rPr>
          <w:rFonts w:ascii="Arial" w:hAnsi="Arial" w:cs="Arial"/>
          <w:sz w:val="20"/>
          <w:szCs w:val="20"/>
        </w:rPr>
        <w:t xml:space="preserve"> </w:t>
      </w:r>
      <w:r w:rsidR="007A02F5">
        <w:rPr>
          <w:rFonts w:ascii="Arial" w:hAnsi="Arial" w:cs="Arial"/>
          <w:sz w:val="20"/>
          <w:szCs w:val="20"/>
        </w:rPr>
        <w:t xml:space="preserve">που είχαν επιβληθεί </w:t>
      </w:r>
      <w:r w:rsidR="00C81374">
        <w:rPr>
          <w:rFonts w:ascii="Arial" w:hAnsi="Arial" w:cs="Arial"/>
          <w:sz w:val="20"/>
          <w:szCs w:val="20"/>
        </w:rPr>
        <w:t xml:space="preserve">βάσει </w:t>
      </w:r>
      <w:r w:rsidR="00C81374">
        <w:rPr>
          <w:rFonts w:ascii="Arial" w:hAnsi="Arial" w:cs="Arial"/>
          <w:sz w:val="20"/>
          <w:szCs w:val="20"/>
          <w:lang w:val="en-US"/>
        </w:rPr>
        <w:t>IEEPA</w:t>
      </w:r>
      <w:r w:rsidR="00C81374">
        <w:rPr>
          <w:rFonts w:ascii="Arial" w:hAnsi="Arial" w:cs="Arial"/>
          <w:sz w:val="20"/>
          <w:szCs w:val="20"/>
        </w:rPr>
        <w:t xml:space="preserve">. </w:t>
      </w:r>
      <w:r w:rsidR="00C81374" w:rsidRPr="00E12F9C">
        <w:rPr>
          <w:rFonts w:ascii="Arial" w:hAnsi="Arial" w:cs="Arial"/>
          <w:sz w:val="20"/>
          <w:szCs w:val="20"/>
        </w:rPr>
        <w:t>Στην περίπτωση της ΕΕ, ο καταργηθείς δασμός ανερχόταν σε 15%.</w:t>
      </w:r>
      <w:r w:rsidR="00C81374" w:rsidRPr="00C81374">
        <w:rPr>
          <w:rFonts w:ascii="Arial" w:hAnsi="Arial" w:cs="Arial"/>
          <w:sz w:val="20"/>
          <w:szCs w:val="20"/>
        </w:rPr>
        <w:t xml:space="preserve"> </w:t>
      </w:r>
    </w:p>
    <w:p w14:paraId="40F10D1B" w14:textId="255A69B1" w:rsidR="00D87A71" w:rsidRDefault="00D87A71" w:rsidP="00755C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sz w:val="20"/>
          <w:szCs w:val="20"/>
        </w:rPr>
        <w:t>Ωστόσο,</w:t>
      </w:r>
      <w:r w:rsidR="0014739D">
        <w:rPr>
          <w:rFonts w:ascii="Arial" w:hAnsi="Arial" w:cs="Arial"/>
          <w:sz w:val="20"/>
          <w:szCs w:val="20"/>
        </w:rPr>
        <w:t xml:space="preserve"> </w:t>
      </w:r>
      <w:r w:rsidR="007A02F5">
        <w:rPr>
          <w:rFonts w:ascii="Arial" w:hAnsi="Arial" w:cs="Arial"/>
          <w:sz w:val="20"/>
          <w:szCs w:val="20"/>
        </w:rPr>
        <w:t xml:space="preserve">παρέμειναν σε ισχύ </w:t>
      </w:r>
      <w:r w:rsidRPr="00E12F9C">
        <w:rPr>
          <w:rFonts w:ascii="Arial" w:hAnsi="Arial" w:cs="Arial"/>
          <w:sz w:val="20"/>
          <w:szCs w:val="20"/>
        </w:rPr>
        <w:t xml:space="preserve">δασμοί </w:t>
      </w:r>
      <w:r w:rsidR="004C52A3" w:rsidRPr="00E12F9C">
        <w:rPr>
          <w:rFonts w:ascii="Arial" w:hAnsi="Arial" w:cs="Arial"/>
          <w:sz w:val="20"/>
          <w:szCs w:val="20"/>
        </w:rPr>
        <w:t xml:space="preserve">που </w:t>
      </w:r>
      <w:r w:rsidR="007A02F5">
        <w:rPr>
          <w:rFonts w:ascii="Arial" w:hAnsi="Arial" w:cs="Arial"/>
          <w:sz w:val="20"/>
          <w:szCs w:val="20"/>
        </w:rPr>
        <w:t xml:space="preserve">επιβάλλονται </w:t>
      </w:r>
      <w:r w:rsidR="004C52A3" w:rsidRPr="00E12F9C">
        <w:rPr>
          <w:rFonts w:ascii="Arial" w:hAnsi="Arial" w:cs="Arial"/>
          <w:sz w:val="20"/>
          <w:szCs w:val="20"/>
        </w:rPr>
        <w:t>βάσει άλλων νόμων, όπως το Άρθρο 232 (εθνική ασφάλεια) ή το Άρθρο 301 (αθέμιτες εμπορικές πρακτικές)</w:t>
      </w:r>
      <w:r w:rsidR="008C1745">
        <w:rPr>
          <w:rFonts w:ascii="Arial" w:hAnsi="Arial" w:cs="Arial"/>
          <w:sz w:val="20"/>
          <w:szCs w:val="20"/>
        </w:rPr>
        <w:t>.</w:t>
      </w:r>
      <w:r w:rsidRPr="00E12F9C">
        <w:rPr>
          <w:rFonts w:ascii="Arial" w:hAnsi="Arial" w:cs="Arial"/>
          <w:sz w:val="20"/>
          <w:szCs w:val="20"/>
        </w:rPr>
        <w:t xml:space="preserve"> </w:t>
      </w:r>
      <w:r w:rsidR="00C81374" w:rsidRPr="00E12F9C">
        <w:rPr>
          <w:rFonts w:ascii="Arial" w:hAnsi="Arial" w:cs="Arial"/>
          <w:sz w:val="20"/>
          <w:szCs w:val="20"/>
        </w:rPr>
        <w:t xml:space="preserve">Αυθημερόν </w:t>
      </w:r>
      <w:r w:rsidR="007A02F5">
        <w:rPr>
          <w:rFonts w:ascii="Arial" w:hAnsi="Arial" w:cs="Arial"/>
          <w:sz w:val="20"/>
          <w:szCs w:val="20"/>
        </w:rPr>
        <w:t xml:space="preserve">κατά </w:t>
      </w:r>
      <w:r w:rsidR="00C81374" w:rsidRPr="00E12F9C">
        <w:rPr>
          <w:rFonts w:ascii="Arial" w:hAnsi="Arial" w:cs="Arial"/>
          <w:sz w:val="20"/>
          <w:szCs w:val="20"/>
        </w:rPr>
        <w:t>την έκδοση της απόφασης</w:t>
      </w:r>
      <w:r w:rsidR="00C81374">
        <w:rPr>
          <w:rFonts w:ascii="Arial" w:hAnsi="Arial" w:cs="Arial"/>
          <w:sz w:val="20"/>
          <w:szCs w:val="20"/>
        </w:rPr>
        <w:t xml:space="preserve"> του Ανωτάτου Δικαστηρίου</w:t>
      </w:r>
      <w:r w:rsidR="00C81374" w:rsidRPr="00E12F9C">
        <w:rPr>
          <w:rFonts w:ascii="Arial" w:hAnsi="Arial" w:cs="Arial"/>
          <w:sz w:val="20"/>
          <w:szCs w:val="20"/>
        </w:rPr>
        <w:t xml:space="preserve">, ο Πρόεδρος </w:t>
      </w:r>
      <w:r w:rsidR="007A02F5">
        <w:rPr>
          <w:rFonts w:ascii="Arial" w:hAnsi="Arial" w:cs="Arial"/>
          <w:sz w:val="20"/>
          <w:szCs w:val="20"/>
        </w:rPr>
        <w:t>Τραμπ</w:t>
      </w:r>
      <w:r w:rsidR="007A02F5" w:rsidRPr="00E12F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1374" w:rsidRPr="00E12F9C">
        <w:rPr>
          <w:rFonts w:ascii="Arial" w:hAnsi="Arial" w:cs="Arial"/>
          <w:sz w:val="20"/>
          <w:szCs w:val="20"/>
        </w:rPr>
        <w:t>επικαλέσ</w:t>
      </w:r>
      <w:r w:rsidR="007A02F5">
        <w:rPr>
          <w:rFonts w:ascii="Arial" w:hAnsi="Arial" w:cs="Arial"/>
          <w:sz w:val="20"/>
          <w:szCs w:val="20"/>
        </w:rPr>
        <w:t>θ</w:t>
      </w:r>
      <w:r w:rsidR="00C81374" w:rsidRPr="00E12F9C">
        <w:rPr>
          <w:rFonts w:ascii="Arial" w:hAnsi="Arial" w:cs="Arial"/>
          <w:sz w:val="20"/>
          <w:szCs w:val="20"/>
        </w:rPr>
        <w:t>ηκε</w:t>
      </w:r>
      <w:proofErr w:type="spellEnd"/>
      <w:r w:rsidR="00C81374" w:rsidRPr="00E12F9C">
        <w:rPr>
          <w:rFonts w:ascii="Arial" w:hAnsi="Arial" w:cs="Arial"/>
          <w:sz w:val="20"/>
          <w:szCs w:val="20"/>
        </w:rPr>
        <w:t xml:space="preserve"> το Άρθρο 122 του Εμπορικού Νόμου του 1974, </w:t>
      </w:r>
      <w:r w:rsidR="007A02F5">
        <w:rPr>
          <w:rFonts w:ascii="Arial" w:hAnsi="Arial" w:cs="Arial"/>
          <w:sz w:val="20"/>
          <w:szCs w:val="20"/>
        </w:rPr>
        <w:t xml:space="preserve">για την επιβολή ενός </w:t>
      </w:r>
      <w:r w:rsidR="00C81374" w:rsidRPr="00E12F9C">
        <w:rPr>
          <w:rFonts w:ascii="Arial" w:hAnsi="Arial" w:cs="Arial"/>
          <w:sz w:val="20"/>
          <w:szCs w:val="20"/>
        </w:rPr>
        <w:t>νέο</w:t>
      </w:r>
      <w:r w:rsidR="007A02F5">
        <w:rPr>
          <w:rFonts w:ascii="Arial" w:hAnsi="Arial" w:cs="Arial"/>
          <w:sz w:val="20"/>
          <w:szCs w:val="20"/>
        </w:rPr>
        <w:t>υ</w:t>
      </w:r>
      <w:r w:rsidR="00C81374" w:rsidRPr="00E12F9C">
        <w:rPr>
          <w:rFonts w:ascii="Arial" w:hAnsi="Arial" w:cs="Arial"/>
          <w:sz w:val="20"/>
          <w:szCs w:val="20"/>
        </w:rPr>
        <w:t xml:space="preserve"> καθολικ</w:t>
      </w:r>
      <w:r w:rsidR="007A02F5">
        <w:rPr>
          <w:rFonts w:ascii="Arial" w:hAnsi="Arial" w:cs="Arial"/>
          <w:sz w:val="20"/>
          <w:szCs w:val="20"/>
        </w:rPr>
        <w:t xml:space="preserve">ού </w:t>
      </w:r>
      <w:r w:rsidR="00C81374" w:rsidRPr="00E12F9C">
        <w:rPr>
          <w:rFonts w:ascii="Arial" w:hAnsi="Arial" w:cs="Arial"/>
          <w:sz w:val="20"/>
          <w:szCs w:val="20"/>
        </w:rPr>
        <w:t>δασμ</w:t>
      </w:r>
      <w:r w:rsidR="007A02F5">
        <w:rPr>
          <w:rFonts w:ascii="Arial" w:hAnsi="Arial" w:cs="Arial"/>
          <w:sz w:val="20"/>
          <w:szCs w:val="20"/>
        </w:rPr>
        <w:t>ού</w:t>
      </w:r>
      <w:r w:rsidR="00C81374">
        <w:rPr>
          <w:rFonts w:ascii="Arial" w:hAnsi="Arial" w:cs="Arial"/>
          <w:sz w:val="20"/>
          <w:szCs w:val="20"/>
        </w:rPr>
        <w:t xml:space="preserve">, ύψους </w:t>
      </w:r>
      <w:r w:rsidR="00C81374" w:rsidRPr="00E12F9C">
        <w:rPr>
          <w:rFonts w:ascii="Arial" w:hAnsi="Arial" w:cs="Arial"/>
          <w:sz w:val="20"/>
          <w:szCs w:val="20"/>
        </w:rPr>
        <w:t>10%</w:t>
      </w:r>
      <w:r w:rsidR="00327E0D">
        <w:rPr>
          <w:rFonts w:ascii="Arial" w:hAnsi="Arial" w:cs="Arial"/>
          <w:sz w:val="20"/>
          <w:szCs w:val="20"/>
        </w:rPr>
        <w:t xml:space="preserve"> </w:t>
      </w:r>
      <w:r w:rsidR="00327E0D" w:rsidRPr="00327E0D">
        <w:rPr>
          <w:rFonts w:ascii="Arial" w:hAnsi="Arial" w:cs="Arial"/>
          <w:sz w:val="20"/>
          <w:szCs w:val="20"/>
        </w:rPr>
        <w:t xml:space="preserve">συν τον δασμό </w:t>
      </w:r>
      <w:r w:rsidR="00327E0D">
        <w:rPr>
          <w:rFonts w:ascii="Arial" w:hAnsi="Arial" w:cs="Arial"/>
          <w:sz w:val="20"/>
          <w:szCs w:val="20"/>
        </w:rPr>
        <w:t>του Μάλλον Ευνοούμενου Κράτους (</w:t>
      </w:r>
      <w:r w:rsidR="00327E0D" w:rsidRPr="00327E0D">
        <w:rPr>
          <w:rFonts w:ascii="Arial" w:hAnsi="Arial" w:cs="Arial"/>
          <w:sz w:val="20"/>
          <w:szCs w:val="20"/>
        </w:rPr>
        <w:t>MFN</w:t>
      </w:r>
      <w:r w:rsidR="00327E0D">
        <w:rPr>
          <w:rFonts w:ascii="Arial" w:hAnsi="Arial" w:cs="Arial"/>
          <w:sz w:val="20"/>
          <w:szCs w:val="20"/>
        </w:rPr>
        <w:t>)</w:t>
      </w:r>
      <w:r w:rsidR="00C81374" w:rsidRPr="00C81374">
        <w:rPr>
          <w:rFonts w:ascii="Arial" w:hAnsi="Arial" w:cs="Arial"/>
          <w:sz w:val="20"/>
          <w:szCs w:val="20"/>
        </w:rPr>
        <w:t xml:space="preserve">, </w:t>
      </w:r>
      <w:r w:rsidR="00C81374">
        <w:rPr>
          <w:rFonts w:ascii="Arial" w:hAnsi="Arial" w:cs="Arial"/>
          <w:sz w:val="20"/>
          <w:szCs w:val="20"/>
        </w:rPr>
        <w:t xml:space="preserve">με ισχύ </w:t>
      </w:r>
      <w:r w:rsidR="007A02F5">
        <w:rPr>
          <w:rFonts w:ascii="Arial" w:hAnsi="Arial" w:cs="Arial"/>
          <w:sz w:val="20"/>
          <w:szCs w:val="20"/>
        </w:rPr>
        <w:t xml:space="preserve">150 ημερών, </w:t>
      </w:r>
      <w:r w:rsidR="00C81374">
        <w:rPr>
          <w:rFonts w:ascii="Arial" w:hAnsi="Arial" w:cs="Arial"/>
          <w:sz w:val="20"/>
          <w:szCs w:val="20"/>
        </w:rPr>
        <w:t>από</w:t>
      </w:r>
      <w:r w:rsidR="00C81374" w:rsidRPr="00C81374">
        <w:rPr>
          <w:rFonts w:ascii="Arial" w:hAnsi="Arial" w:cs="Arial"/>
          <w:sz w:val="20"/>
          <w:szCs w:val="20"/>
        </w:rPr>
        <w:t xml:space="preserve"> </w:t>
      </w:r>
      <w:r w:rsidR="00C81374" w:rsidRPr="00E12F9C">
        <w:rPr>
          <w:rFonts w:ascii="Arial" w:hAnsi="Arial" w:cs="Arial"/>
          <w:sz w:val="20"/>
          <w:szCs w:val="20"/>
        </w:rPr>
        <w:t>24</w:t>
      </w:r>
      <w:r w:rsidR="00C81374">
        <w:rPr>
          <w:rFonts w:ascii="Arial" w:hAnsi="Arial" w:cs="Arial"/>
          <w:sz w:val="20"/>
          <w:szCs w:val="20"/>
        </w:rPr>
        <w:t>.0</w:t>
      </w:r>
      <w:r w:rsidR="00C81374" w:rsidRPr="00E12F9C">
        <w:rPr>
          <w:rFonts w:ascii="Arial" w:hAnsi="Arial" w:cs="Arial"/>
          <w:sz w:val="20"/>
          <w:szCs w:val="20"/>
        </w:rPr>
        <w:t>2</w:t>
      </w:r>
      <w:r w:rsidR="00C81374">
        <w:rPr>
          <w:rFonts w:ascii="Arial" w:hAnsi="Arial" w:cs="Arial"/>
          <w:sz w:val="20"/>
          <w:szCs w:val="20"/>
        </w:rPr>
        <w:t>.</w:t>
      </w:r>
      <w:r w:rsidR="00C81374" w:rsidRPr="00E12F9C">
        <w:rPr>
          <w:rFonts w:ascii="Arial" w:hAnsi="Arial" w:cs="Arial"/>
          <w:sz w:val="20"/>
          <w:szCs w:val="20"/>
        </w:rPr>
        <w:t>2026</w:t>
      </w:r>
      <w:r w:rsidR="00C81374">
        <w:rPr>
          <w:rFonts w:ascii="Arial" w:hAnsi="Arial" w:cs="Arial"/>
          <w:sz w:val="20"/>
          <w:szCs w:val="20"/>
        </w:rPr>
        <w:t xml:space="preserve"> έως </w:t>
      </w:r>
      <w:r w:rsidR="00C81374" w:rsidRPr="00E12F9C">
        <w:rPr>
          <w:rFonts w:ascii="Arial" w:hAnsi="Arial" w:cs="Arial"/>
          <w:sz w:val="20"/>
          <w:szCs w:val="20"/>
        </w:rPr>
        <w:t>τέλη Ιουλίου 2026</w:t>
      </w:r>
      <w:r w:rsidR="007A02F5">
        <w:rPr>
          <w:rFonts w:ascii="Arial" w:hAnsi="Arial" w:cs="Arial"/>
          <w:sz w:val="20"/>
          <w:szCs w:val="20"/>
        </w:rPr>
        <w:t>, με</w:t>
      </w:r>
      <w:r w:rsidR="008C1745">
        <w:rPr>
          <w:rFonts w:ascii="Arial" w:hAnsi="Arial" w:cs="Arial"/>
          <w:sz w:val="20"/>
          <w:szCs w:val="20"/>
        </w:rPr>
        <w:t xml:space="preserve"> δυνατότητα παράτασης</w:t>
      </w:r>
      <w:r w:rsidR="00160531">
        <w:rPr>
          <w:rFonts w:ascii="Arial" w:hAnsi="Arial" w:cs="Arial"/>
          <w:sz w:val="20"/>
          <w:szCs w:val="20"/>
        </w:rPr>
        <w:t xml:space="preserve">, </w:t>
      </w:r>
      <w:r w:rsidR="008C1745">
        <w:rPr>
          <w:rFonts w:ascii="Arial" w:hAnsi="Arial" w:cs="Arial"/>
          <w:sz w:val="20"/>
          <w:szCs w:val="20"/>
        </w:rPr>
        <w:t>κατόπιν</w:t>
      </w:r>
      <w:r w:rsidR="008C1745" w:rsidRPr="00E12F9C">
        <w:rPr>
          <w:rFonts w:ascii="Arial" w:hAnsi="Arial" w:cs="Arial"/>
          <w:sz w:val="20"/>
          <w:szCs w:val="20"/>
        </w:rPr>
        <w:t xml:space="preserve"> απόφαση</w:t>
      </w:r>
      <w:r w:rsidR="008C1745">
        <w:rPr>
          <w:rFonts w:ascii="Arial" w:hAnsi="Arial" w:cs="Arial"/>
          <w:sz w:val="20"/>
          <w:szCs w:val="20"/>
        </w:rPr>
        <w:t>ς</w:t>
      </w:r>
      <w:r w:rsidR="008C1745" w:rsidRPr="00E12F9C">
        <w:rPr>
          <w:rFonts w:ascii="Arial" w:hAnsi="Arial" w:cs="Arial"/>
          <w:sz w:val="20"/>
          <w:szCs w:val="20"/>
        </w:rPr>
        <w:t xml:space="preserve"> του Κογκρέσου</w:t>
      </w:r>
      <w:r w:rsidR="008C1745">
        <w:rPr>
          <w:rFonts w:ascii="Arial" w:hAnsi="Arial" w:cs="Arial"/>
          <w:sz w:val="20"/>
          <w:szCs w:val="20"/>
        </w:rPr>
        <w:t>)</w:t>
      </w:r>
      <w:r w:rsidR="007A02F5">
        <w:rPr>
          <w:rFonts w:ascii="Arial" w:hAnsi="Arial" w:cs="Arial"/>
          <w:sz w:val="20"/>
          <w:szCs w:val="20"/>
        </w:rPr>
        <w:t>.</w:t>
      </w:r>
      <w:r w:rsidR="00C81374">
        <w:rPr>
          <w:rFonts w:ascii="Arial" w:hAnsi="Arial" w:cs="Arial"/>
          <w:sz w:val="20"/>
          <w:szCs w:val="20"/>
        </w:rPr>
        <w:t xml:space="preserve"> </w:t>
      </w:r>
    </w:p>
    <w:p w14:paraId="2AB0343E" w14:textId="1B64D534" w:rsidR="00BC1A7D" w:rsidRDefault="00437712" w:rsidP="00755C8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Εν όψει της </w:t>
      </w:r>
      <w:r w:rsidR="00753367">
        <w:rPr>
          <w:rFonts w:ascii="Arial" w:hAnsi="Arial" w:cs="Arial"/>
          <w:sz w:val="20"/>
          <w:szCs w:val="20"/>
        </w:rPr>
        <w:t xml:space="preserve">λήξης ισχύος </w:t>
      </w:r>
      <w:r>
        <w:rPr>
          <w:rFonts w:ascii="Arial" w:hAnsi="Arial" w:cs="Arial"/>
          <w:sz w:val="20"/>
          <w:szCs w:val="20"/>
        </w:rPr>
        <w:t>του καθολικού δασμού 10% στα τέλη Ιουλίου</w:t>
      </w:r>
      <w:r w:rsidR="00753367">
        <w:rPr>
          <w:rFonts w:ascii="Arial" w:hAnsi="Arial" w:cs="Arial"/>
          <w:sz w:val="20"/>
          <w:szCs w:val="20"/>
        </w:rPr>
        <w:t xml:space="preserve">, η κυβέρνηση επεξεργάζεται τρόπους </w:t>
      </w:r>
      <w:r>
        <w:rPr>
          <w:rFonts w:ascii="Arial" w:hAnsi="Arial" w:cs="Arial"/>
          <w:sz w:val="20"/>
          <w:szCs w:val="20"/>
        </w:rPr>
        <w:t xml:space="preserve">επέκτασης των δασμών </w:t>
      </w:r>
      <w:r w:rsidR="004036F8">
        <w:rPr>
          <w:rFonts w:ascii="Arial" w:hAnsi="Arial" w:cs="Arial"/>
          <w:sz w:val="20"/>
          <w:szCs w:val="20"/>
        </w:rPr>
        <w:t>βάσει των Άρθρων 232 και 301</w:t>
      </w:r>
      <w:r>
        <w:rPr>
          <w:rFonts w:ascii="Arial" w:hAnsi="Arial" w:cs="Arial"/>
          <w:sz w:val="20"/>
          <w:szCs w:val="20"/>
        </w:rPr>
        <w:t>. Γ</w:t>
      </w:r>
      <w:r w:rsidR="004036F8">
        <w:rPr>
          <w:rFonts w:ascii="Arial" w:hAnsi="Arial" w:cs="Arial"/>
          <w:sz w:val="20"/>
          <w:szCs w:val="20"/>
        </w:rPr>
        <w:t>ια το</w:t>
      </w:r>
      <w:r>
        <w:rPr>
          <w:rFonts w:ascii="Arial" w:hAnsi="Arial" w:cs="Arial"/>
          <w:sz w:val="20"/>
          <w:szCs w:val="20"/>
        </w:rPr>
        <w:t>ν</w:t>
      </w:r>
      <w:r w:rsidR="004036F8">
        <w:rPr>
          <w:rFonts w:ascii="Arial" w:hAnsi="Arial" w:cs="Arial"/>
          <w:sz w:val="20"/>
          <w:szCs w:val="20"/>
        </w:rPr>
        <w:t xml:space="preserve"> σκοπό αυτό έχει ξεκινήσει </w:t>
      </w:r>
      <w:r>
        <w:rPr>
          <w:rFonts w:ascii="Arial" w:hAnsi="Arial" w:cs="Arial"/>
          <w:sz w:val="20"/>
          <w:szCs w:val="20"/>
        </w:rPr>
        <w:t xml:space="preserve">έξι και δύο </w:t>
      </w:r>
      <w:r w:rsidR="004036F8">
        <w:rPr>
          <w:rFonts w:ascii="Arial" w:hAnsi="Arial" w:cs="Arial"/>
          <w:sz w:val="20"/>
          <w:szCs w:val="20"/>
        </w:rPr>
        <w:t>διαδικασί</w:t>
      </w:r>
      <w:r>
        <w:rPr>
          <w:rFonts w:ascii="Arial" w:hAnsi="Arial" w:cs="Arial"/>
          <w:sz w:val="20"/>
          <w:szCs w:val="20"/>
        </w:rPr>
        <w:t>ες</w:t>
      </w:r>
      <w:r w:rsidR="004036F8">
        <w:rPr>
          <w:rFonts w:ascii="Arial" w:hAnsi="Arial" w:cs="Arial"/>
          <w:sz w:val="20"/>
          <w:szCs w:val="20"/>
        </w:rPr>
        <w:t xml:space="preserve"> έρευνας και δημόσιας διαβούλευσης</w:t>
      </w:r>
      <w:r>
        <w:rPr>
          <w:rFonts w:ascii="Arial" w:hAnsi="Arial" w:cs="Arial"/>
          <w:sz w:val="20"/>
          <w:szCs w:val="20"/>
        </w:rPr>
        <w:t>, αντιστοίχως</w:t>
      </w:r>
      <w:r w:rsidR="001A70FB">
        <w:rPr>
          <w:rFonts w:ascii="Arial" w:hAnsi="Arial" w:cs="Arial"/>
          <w:sz w:val="20"/>
          <w:szCs w:val="20"/>
        </w:rPr>
        <w:t xml:space="preserve">. </w:t>
      </w:r>
      <w:r w:rsidR="004036F8">
        <w:rPr>
          <w:rFonts w:ascii="Arial" w:hAnsi="Arial" w:cs="Arial"/>
          <w:sz w:val="20"/>
          <w:szCs w:val="20"/>
        </w:rPr>
        <w:t>Θεωρείται, δε, βέβαιο ότι οι διαδικασίες αυτές θα καταλήξουν σ</w:t>
      </w:r>
      <w:r w:rsidR="007503E7">
        <w:rPr>
          <w:rFonts w:ascii="Arial" w:hAnsi="Arial" w:cs="Arial"/>
          <w:sz w:val="20"/>
          <w:szCs w:val="20"/>
        </w:rPr>
        <w:t>την επιβολή νέων δασμών</w:t>
      </w:r>
      <w:r w:rsidR="004036F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Το αποτέλεσμά τους αναμένεται να ανακοινωθεί κατά το διάστημα Ιουλίου – </w:t>
      </w:r>
      <w:r w:rsidR="001A70FB">
        <w:rPr>
          <w:rFonts w:ascii="Arial" w:hAnsi="Arial" w:cs="Arial"/>
          <w:sz w:val="20"/>
          <w:szCs w:val="20"/>
        </w:rPr>
        <w:t>Σεπτεμβρίου</w:t>
      </w:r>
      <w:r>
        <w:rPr>
          <w:rFonts w:ascii="Arial" w:hAnsi="Arial" w:cs="Arial"/>
          <w:sz w:val="20"/>
          <w:szCs w:val="20"/>
        </w:rPr>
        <w:t xml:space="preserve"> 2026.</w:t>
      </w:r>
    </w:p>
    <w:p w14:paraId="006F2DC1" w14:textId="443B00C2" w:rsidR="001E4CCD" w:rsidRDefault="001E4CCD" w:rsidP="00755C8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EC805D5" w14:textId="474D9F86" w:rsidR="000F290C" w:rsidRPr="001A70FB" w:rsidRDefault="000F290C" w:rsidP="000F290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A70FB">
        <w:rPr>
          <w:rFonts w:ascii="Arial" w:hAnsi="Arial" w:cs="Arial"/>
          <w:b/>
          <w:sz w:val="20"/>
          <w:szCs w:val="20"/>
        </w:rPr>
        <w:t xml:space="preserve">Συνέπειες για </w:t>
      </w:r>
      <w:r w:rsidR="00C5723F" w:rsidRPr="001A70FB">
        <w:rPr>
          <w:rFonts w:ascii="Arial" w:hAnsi="Arial" w:cs="Arial"/>
          <w:b/>
          <w:sz w:val="20"/>
          <w:szCs w:val="20"/>
        </w:rPr>
        <w:t>τις ελληνικές εξαγωγές:</w:t>
      </w:r>
    </w:p>
    <w:p w14:paraId="570C6FD6" w14:textId="1FE30CDA" w:rsidR="00B2345C" w:rsidRPr="001A70FB" w:rsidRDefault="009C201B" w:rsidP="004A3F06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A70FB">
        <w:rPr>
          <w:rFonts w:ascii="Arial" w:hAnsi="Arial" w:cs="Arial"/>
          <w:sz w:val="20"/>
          <w:szCs w:val="20"/>
        </w:rPr>
        <w:t>Βάσει του Άρθρου 122, από</w:t>
      </w:r>
      <w:r w:rsidR="000F290C" w:rsidRPr="001A70FB">
        <w:rPr>
          <w:rFonts w:ascii="Arial" w:hAnsi="Arial" w:cs="Arial"/>
          <w:sz w:val="20"/>
          <w:szCs w:val="20"/>
        </w:rPr>
        <w:t xml:space="preserve"> 24</w:t>
      </w:r>
      <w:r w:rsidR="00B2345C" w:rsidRPr="001A70FB">
        <w:rPr>
          <w:rFonts w:ascii="Arial" w:hAnsi="Arial" w:cs="Arial"/>
          <w:sz w:val="20"/>
          <w:szCs w:val="20"/>
        </w:rPr>
        <w:t>/2</w:t>
      </w:r>
      <w:r w:rsidR="000F290C" w:rsidRPr="001A70FB">
        <w:rPr>
          <w:rFonts w:ascii="Arial" w:hAnsi="Arial" w:cs="Arial"/>
          <w:sz w:val="20"/>
          <w:szCs w:val="20"/>
        </w:rPr>
        <w:t>, ο πρόσθετος δασμός για προϊόντα προέλευσης ΕΕ</w:t>
      </w:r>
      <w:r w:rsidR="00B45756" w:rsidRPr="001A70FB">
        <w:rPr>
          <w:rFonts w:ascii="Arial" w:hAnsi="Arial" w:cs="Arial"/>
          <w:sz w:val="20"/>
          <w:szCs w:val="20"/>
        </w:rPr>
        <w:t xml:space="preserve"> ανέρχεται σε </w:t>
      </w:r>
      <w:r w:rsidR="000F290C" w:rsidRPr="001A70FB">
        <w:rPr>
          <w:rFonts w:ascii="Arial" w:hAnsi="Arial" w:cs="Arial"/>
          <w:sz w:val="20"/>
          <w:szCs w:val="20"/>
        </w:rPr>
        <w:t xml:space="preserve">10% συν τον </w:t>
      </w:r>
      <w:r w:rsidR="00B45756" w:rsidRPr="001A70FB">
        <w:rPr>
          <w:rFonts w:ascii="Arial" w:hAnsi="Arial" w:cs="Arial"/>
          <w:sz w:val="20"/>
          <w:szCs w:val="20"/>
        </w:rPr>
        <w:t xml:space="preserve">προϋπάρχοντα </w:t>
      </w:r>
      <w:r w:rsidR="000F290C" w:rsidRPr="001A70FB">
        <w:rPr>
          <w:rFonts w:ascii="Arial" w:hAnsi="Arial" w:cs="Arial"/>
          <w:sz w:val="20"/>
          <w:szCs w:val="20"/>
        </w:rPr>
        <w:t xml:space="preserve">δασμό </w:t>
      </w:r>
      <w:r w:rsidR="000F290C" w:rsidRPr="001A70FB">
        <w:rPr>
          <w:rFonts w:ascii="Arial" w:hAnsi="Arial" w:cs="Arial"/>
          <w:sz w:val="20"/>
          <w:szCs w:val="20"/>
          <w:lang w:val="en-US"/>
        </w:rPr>
        <w:t>MFN</w:t>
      </w:r>
      <w:r w:rsidR="000808BE" w:rsidRPr="001A70FB">
        <w:rPr>
          <w:rFonts w:ascii="Arial" w:hAnsi="Arial" w:cs="Arial"/>
          <w:sz w:val="20"/>
          <w:szCs w:val="20"/>
        </w:rPr>
        <w:t xml:space="preserve">. </w:t>
      </w:r>
    </w:p>
    <w:p w14:paraId="2D46798B" w14:textId="75B730D9" w:rsidR="005442AE" w:rsidRPr="005442AE" w:rsidRDefault="00B2345C" w:rsidP="001A70FB">
      <w:pPr>
        <w:pStyle w:val="ListParagraph"/>
        <w:numPr>
          <w:ilvl w:val="0"/>
          <w:numId w:val="23"/>
        </w:numPr>
        <w:shd w:val="clear" w:color="auto" w:fill="FFFFFF" w:themeFill="background1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42AE">
        <w:rPr>
          <w:rFonts w:ascii="Arial" w:hAnsi="Arial" w:cs="Arial"/>
          <w:sz w:val="20"/>
          <w:szCs w:val="20"/>
        </w:rPr>
        <w:t>Βάσει του Άρθρου 232, παραμένουν σε ισχύ οι δασμοί ύψους 50% που έχουν επιβληθεί</w:t>
      </w:r>
      <w:r w:rsidR="005E1DC4" w:rsidRPr="005442AE">
        <w:rPr>
          <w:rFonts w:ascii="Arial" w:hAnsi="Arial" w:cs="Arial"/>
          <w:sz w:val="20"/>
          <w:szCs w:val="20"/>
        </w:rPr>
        <w:t xml:space="preserve"> σε προϊόντα χάλυβα, αλουμινίου και χαλκού και 25% στα παράγωγά τους</w:t>
      </w:r>
      <w:r w:rsidR="005442AE" w:rsidRPr="005442AE">
        <w:rPr>
          <w:rFonts w:ascii="Arial" w:hAnsi="Arial" w:cs="Arial"/>
          <w:sz w:val="20"/>
          <w:szCs w:val="20"/>
        </w:rPr>
        <w:t xml:space="preserve">. Παρά το γεγονός ότι πρόκειται για σημαντικές εξαγωγικές κατηγορίες της Ελλάδας, οι εξαγωγές μας έχουν ανοδική πορεία λόγω της </w:t>
      </w:r>
      <w:r w:rsidR="005442AE">
        <w:rPr>
          <w:rFonts w:ascii="Arial" w:hAnsi="Arial" w:cs="Arial"/>
          <w:sz w:val="20"/>
          <w:szCs w:val="20"/>
        </w:rPr>
        <w:t xml:space="preserve">παράλληλης </w:t>
      </w:r>
      <w:r w:rsidR="005442AE" w:rsidRPr="005442AE">
        <w:rPr>
          <w:rFonts w:ascii="Arial" w:hAnsi="Arial" w:cs="Arial"/>
          <w:sz w:val="20"/>
          <w:szCs w:val="20"/>
        </w:rPr>
        <w:t>αύξησης της αμερικανικής ζήτησης</w:t>
      </w:r>
      <w:r w:rsidR="00F8704C">
        <w:rPr>
          <w:rFonts w:ascii="Arial" w:hAnsi="Arial" w:cs="Arial"/>
          <w:sz w:val="20"/>
          <w:szCs w:val="20"/>
        </w:rPr>
        <w:t>, ως αποτέλεσμα της ανεπαρκούς αμερικανικής παραγωγής</w:t>
      </w:r>
      <w:r w:rsidR="005442AE" w:rsidRPr="005442AE">
        <w:rPr>
          <w:rFonts w:ascii="Arial" w:hAnsi="Arial" w:cs="Arial"/>
          <w:sz w:val="20"/>
          <w:szCs w:val="20"/>
        </w:rPr>
        <w:t>.</w:t>
      </w:r>
    </w:p>
    <w:p w14:paraId="6F292498" w14:textId="59D2B94A" w:rsidR="00A01942" w:rsidRDefault="00A01942" w:rsidP="009C201B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Όσον αφορά τις νέες έρευνες, βάσει του Άρθρου 232,</w:t>
      </w:r>
      <w:r w:rsidR="005E6FA9">
        <w:rPr>
          <w:rFonts w:ascii="Arial" w:hAnsi="Arial" w:cs="Arial"/>
          <w:sz w:val="20"/>
          <w:szCs w:val="20"/>
        </w:rPr>
        <w:t xml:space="preserve"> εκτιμούμε ότι </w:t>
      </w:r>
      <w:r w:rsidR="00F8704C">
        <w:rPr>
          <w:rFonts w:ascii="Arial" w:hAnsi="Arial" w:cs="Arial"/>
          <w:sz w:val="20"/>
          <w:szCs w:val="20"/>
        </w:rPr>
        <w:t>μπορεί να επηρεασθούν ελληνικές εξαγωγές αξίας περίπου €12 εκ. που αντιστοιχούν μόλις στο 0,5% του συνόλου.</w:t>
      </w:r>
    </w:p>
    <w:p w14:paraId="65249A71" w14:textId="2A29D830" w:rsidR="007744ED" w:rsidRDefault="00F8704C" w:rsidP="007744ED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Η </w:t>
      </w:r>
      <w:r w:rsidR="007744ED">
        <w:rPr>
          <w:rFonts w:ascii="Arial" w:hAnsi="Arial" w:cs="Arial"/>
          <w:sz w:val="20"/>
          <w:szCs w:val="20"/>
        </w:rPr>
        <w:t>έρευνα</w:t>
      </w:r>
      <w:r>
        <w:rPr>
          <w:rFonts w:ascii="Arial" w:hAnsi="Arial" w:cs="Arial"/>
          <w:sz w:val="20"/>
          <w:szCs w:val="20"/>
        </w:rPr>
        <w:t>,</w:t>
      </w:r>
      <w:r w:rsidR="00D72177">
        <w:rPr>
          <w:rFonts w:ascii="Arial" w:hAnsi="Arial" w:cs="Arial"/>
          <w:sz w:val="20"/>
          <w:szCs w:val="20"/>
        </w:rPr>
        <w:t xml:space="preserve"> </w:t>
      </w:r>
      <w:r w:rsidR="00A01942">
        <w:rPr>
          <w:rFonts w:ascii="Arial" w:hAnsi="Arial" w:cs="Arial"/>
          <w:sz w:val="20"/>
          <w:szCs w:val="20"/>
        </w:rPr>
        <w:t xml:space="preserve">βάσει του </w:t>
      </w:r>
      <w:r w:rsidR="00A01942" w:rsidRPr="007744ED">
        <w:rPr>
          <w:rFonts w:ascii="Arial" w:hAnsi="Arial" w:cs="Arial"/>
          <w:sz w:val="20"/>
          <w:szCs w:val="20"/>
        </w:rPr>
        <w:t>Άρθρου 301,</w:t>
      </w:r>
      <w:r w:rsidR="00F07E81" w:rsidRPr="007744ED">
        <w:rPr>
          <w:rFonts w:ascii="Arial" w:hAnsi="Arial" w:cs="Arial"/>
          <w:sz w:val="20"/>
          <w:szCs w:val="20"/>
        </w:rPr>
        <w:t xml:space="preserve"> </w:t>
      </w:r>
      <w:r w:rsidR="007744ED">
        <w:rPr>
          <w:rFonts w:ascii="Arial" w:hAnsi="Arial" w:cs="Arial"/>
          <w:sz w:val="20"/>
          <w:szCs w:val="20"/>
        </w:rPr>
        <w:t xml:space="preserve">περί </w:t>
      </w:r>
      <w:r w:rsidR="00F07E81" w:rsidRPr="00F07E81">
        <w:rPr>
          <w:rFonts w:ascii="Arial" w:hAnsi="Arial" w:cs="Arial"/>
          <w:sz w:val="20"/>
          <w:szCs w:val="20"/>
        </w:rPr>
        <w:t>απαγόρευσης εισαγωγής αγαθών που έχουν παραχθεί με αναγκαστική εργασία</w:t>
      </w:r>
      <w:r w:rsidR="007744ED">
        <w:rPr>
          <w:rFonts w:ascii="Arial" w:hAnsi="Arial" w:cs="Arial"/>
          <w:sz w:val="20"/>
          <w:szCs w:val="20"/>
        </w:rPr>
        <w:t xml:space="preserve">, δεν αναμένεται να επηρεάσει τις ελληνικές εξαγωγές, </w:t>
      </w:r>
      <w:r>
        <w:rPr>
          <w:rFonts w:ascii="Arial" w:hAnsi="Arial" w:cs="Arial"/>
          <w:sz w:val="20"/>
          <w:szCs w:val="20"/>
        </w:rPr>
        <w:t>καθώς η χώρα μας δεν αντιμετωπίζει τέτοιο πρόβλημα</w:t>
      </w:r>
      <w:r w:rsidR="007744ED">
        <w:rPr>
          <w:rFonts w:ascii="Arial" w:hAnsi="Arial" w:cs="Arial"/>
          <w:sz w:val="20"/>
          <w:szCs w:val="20"/>
        </w:rPr>
        <w:t xml:space="preserve">. </w:t>
      </w:r>
    </w:p>
    <w:p w14:paraId="6F875EF1" w14:textId="6B93C6E2" w:rsidR="007744ED" w:rsidRPr="007744ED" w:rsidRDefault="00F8704C" w:rsidP="007744ED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</w:t>
      </w:r>
      <w:r w:rsidR="007744ED" w:rsidRPr="007744ED">
        <w:rPr>
          <w:rFonts w:ascii="Arial" w:hAnsi="Arial" w:cs="Arial"/>
          <w:sz w:val="20"/>
          <w:szCs w:val="20"/>
        </w:rPr>
        <w:t xml:space="preserve"> έρευνα</w:t>
      </w:r>
      <w:r>
        <w:rPr>
          <w:rFonts w:ascii="Arial" w:hAnsi="Arial" w:cs="Arial"/>
          <w:sz w:val="20"/>
          <w:szCs w:val="20"/>
        </w:rPr>
        <w:t>,</w:t>
      </w:r>
      <w:r w:rsidR="007744ED" w:rsidRPr="007744ED">
        <w:rPr>
          <w:rFonts w:ascii="Arial" w:hAnsi="Arial" w:cs="Arial"/>
          <w:sz w:val="20"/>
          <w:szCs w:val="20"/>
        </w:rPr>
        <w:t xml:space="preserve"> βάσει του άρθρου 301</w:t>
      </w:r>
      <w:r>
        <w:rPr>
          <w:rFonts w:ascii="Arial" w:hAnsi="Arial" w:cs="Arial"/>
          <w:sz w:val="20"/>
          <w:szCs w:val="20"/>
        </w:rPr>
        <w:t>,</w:t>
      </w:r>
      <w:r w:rsidR="007744ED" w:rsidRPr="007744ED">
        <w:rPr>
          <w:rFonts w:ascii="Arial" w:hAnsi="Arial" w:cs="Arial"/>
          <w:sz w:val="20"/>
          <w:szCs w:val="20"/>
        </w:rPr>
        <w:t xml:space="preserve"> περί </w:t>
      </w:r>
      <w:r w:rsidR="00960E9F" w:rsidRPr="00960E9F">
        <w:rPr>
          <w:rFonts w:ascii="Arial" w:hAnsi="Arial" w:cs="Arial"/>
          <w:sz w:val="20"/>
          <w:szCs w:val="20"/>
        </w:rPr>
        <w:t>Διαρθρωτική</w:t>
      </w:r>
      <w:r w:rsidR="00960E9F">
        <w:rPr>
          <w:rFonts w:ascii="Arial" w:hAnsi="Arial" w:cs="Arial"/>
          <w:sz w:val="20"/>
          <w:szCs w:val="20"/>
        </w:rPr>
        <w:t>ς</w:t>
      </w:r>
      <w:r w:rsidR="00960E9F" w:rsidRPr="00960E9F">
        <w:rPr>
          <w:rFonts w:ascii="Arial" w:hAnsi="Arial" w:cs="Arial"/>
          <w:sz w:val="20"/>
          <w:szCs w:val="20"/>
        </w:rPr>
        <w:t xml:space="preserve"> Πλεονάζουσα</w:t>
      </w:r>
      <w:r w:rsidR="00960E9F">
        <w:rPr>
          <w:rFonts w:ascii="Arial" w:hAnsi="Arial" w:cs="Arial"/>
          <w:sz w:val="20"/>
          <w:szCs w:val="20"/>
        </w:rPr>
        <w:t>ς</w:t>
      </w:r>
      <w:r w:rsidR="00960E9F" w:rsidRPr="00960E9F">
        <w:rPr>
          <w:rFonts w:ascii="Arial" w:hAnsi="Arial" w:cs="Arial"/>
          <w:sz w:val="20"/>
          <w:szCs w:val="20"/>
        </w:rPr>
        <w:t xml:space="preserve"> Δυναμικότητα</w:t>
      </w:r>
      <w:r w:rsidR="00960E9F">
        <w:rPr>
          <w:rFonts w:ascii="Arial" w:hAnsi="Arial" w:cs="Arial"/>
          <w:sz w:val="20"/>
          <w:szCs w:val="20"/>
        </w:rPr>
        <w:t>ς</w:t>
      </w:r>
      <w:r w:rsidR="00960E9F" w:rsidRPr="00960E9F">
        <w:rPr>
          <w:rFonts w:ascii="Arial" w:hAnsi="Arial" w:cs="Arial"/>
          <w:sz w:val="20"/>
          <w:szCs w:val="20"/>
        </w:rPr>
        <w:t xml:space="preserve"> και Παραγωγή</w:t>
      </w:r>
      <w:r w:rsidR="00960E9F">
        <w:rPr>
          <w:rFonts w:ascii="Arial" w:hAnsi="Arial" w:cs="Arial"/>
          <w:sz w:val="20"/>
          <w:szCs w:val="20"/>
        </w:rPr>
        <w:t>ς</w:t>
      </w:r>
      <w:r w:rsidR="00960E9F" w:rsidRPr="00960E9F">
        <w:rPr>
          <w:rFonts w:ascii="Arial" w:hAnsi="Arial" w:cs="Arial"/>
          <w:sz w:val="20"/>
          <w:szCs w:val="20"/>
        </w:rPr>
        <w:t xml:space="preserve"> στους Τομείς της Μεταποίησης</w:t>
      </w:r>
      <w:r w:rsidR="00960E9F">
        <w:rPr>
          <w:rFonts w:ascii="Arial" w:hAnsi="Arial" w:cs="Arial"/>
          <w:sz w:val="20"/>
          <w:szCs w:val="20"/>
        </w:rPr>
        <w:t xml:space="preserve">, αποτελεί πιθανή πηγή </w:t>
      </w:r>
      <w:r w:rsidR="00B020AB">
        <w:rPr>
          <w:rFonts w:ascii="Arial" w:hAnsi="Arial" w:cs="Arial"/>
          <w:sz w:val="20"/>
          <w:szCs w:val="20"/>
        </w:rPr>
        <w:t xml:space="preserve">μελλοντικής επιβάρυνσης των ελληνικών εξαγωγών, </w:t>
      </w:r>
      <w:r>
        <w:rPr>
          <w:rFonts w:ascii="Arial" w:hAnsi="Arial" w:cs="Arial"/>
          <w:sz w:val="20"/>
          <w:szCs w:val="20"/>
        </w:rPr>
        <w:t xml:space="preserve">διότι </w:t>
      </w:r>
      <w:r w:rsidR="00B020AB">
        <w:rPr>
          <w:rFonts w:ascii="Arial" w:hAnsi="Arial" w:cs="Arial"/>
          <w:sz w:val="20"/>
          <w:szCs w:val="20"/>
        </w:rPr>
        <w:t>το πεδίο της έρευνας είναι ιδιαιτέρως ευρύ και η Ελλάδα θα αποτελέσει αποδέκτη οποιουδήποτε μέτρου</w:t>
      </w:r>
      <w:r w:rsidR="005E1DC4">
        <w:rPr>
          <w:rFonts w:ascii="Arial" w:hAnsi="Arial" w:cs="Arial"/>
          <w:sz w:val="20"/>
          <w:szCs w:val="20"/>
        </w:rPr>
        <w:t xml:space="preserve"> υιοθετηθεί</w:t>
      </w:r>
      <w:r w:rsidR="00B020AB">
        <w:rPr>
          <w:rFonts w:ascii="Arial" w:hAnsi="Arial" w:cs="Arial"/>
          <w:sz w:val="20"/>
          <w:szCs w:val="20"/>
        </w:rPr>
        <w:t xml:space="preserve"> κατά άλλου κράτους μέλους της Ευρωπαϊκής Ένωσης. </w:t>
      </w:r>
      <w:r>
        <w:rPr>
          <w:rFonts w:ascii="Arial" w:hAnsi="Arial" w:cs="Arial"/>
          <w:sz w:val="20"/>
          <w:szCs w:val="20"/>
        </w:rPr>
        <w:t>Ωστόσο, εκτιμούμε ότι η κατηγορία των τροφίμων-ποτών που αποτελεί το 1/3 του συνόλου των ελληνικών εξαγωγών, όπως και η κατηγορία των υδρογονανθράκων που αντιστοιχεί σε άλλο 1/3, δεν θα επηρεασθ</w:t>
      </w:r>
      <w:r w:rsidR="00DF182F">
        <w:rPr>
          <w:rFonts w:ascii="Arial" w:hAnsi="Arial" w:cs="Arial"/>
          <w:sz w:val="20"/>
          <w:szCs w:val="20"/>
        </w:rPr>
        <w:t>εί</w:t>
      </w:r>
      <w:r>
        <w:rPr>
          <w:rFonts w:ascii="Arial" w:hAnsi="Arial" w:cs="Arial"/>
          <w:sz w:val="20"/>
          <w:szCs w:val="20"/>
        </w:rPr>
        <w:t xml:space="preserve">. Επίσης, τα προϊόντα </w:t>
      </w:r>
      <w:r w:rsidR="00B455D2">
        <w:rPr>
          <w:rFonts w:ascii="Arial" w:hAnsi="Arial" w:cs="Arial"/>
          <w:sz w:val="20"/>
          <w:szCs w:val="20"/>
        </w:rPr>
        <w:t xml:space="preserve">χαλκού, σιδήρου, αλουμινίου και τα παράγωγά τους ήδη επιβαρύνονται με δασμό 50% και 25% αντιστοίχως. </w:t>
      </w:r>
      <w:r>
        <w:rPr>
          <w:rFonts w:ascii="Arial" w:hAnsi="Arial" w:cs="Arial"/>
          <w:sz w:val="20"/>
          <w:szCs w:val="20"/>
        </w:rPr>
        <w:t xml:space="preserve">Συνεπώς, τυχόν επιπτώσεις εξαρτώνται από τις </w:t>
      </w:r>
      <w:r w:rsidR="00B455D2">
        <w:rPr>
          <w:rFonts w:ascii="Arial" w:hAnsi="Arial" w:cs="Arial"/>
          <w:sz w:val="20"/>
          <w:szCs w:val="20"/>
        </w:rPr>
        <w:t xml:space="preserve">λοιπές </w:t>
      </w:r>
      <w:r>
        <w:rPr>
          <w:rFonts w:ascii="Arial" w:hAnsi="Arial" w:cs="Arial"/>
          <w:sz w:val="20"/>
          <w:szCs w:val="20"/>
        </w:rPr>
        <w:t>κατηγορίες πρ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t>οϊόντων στις οποίες θα αφορά.</w:t>
      </w:r>
    </w:p>
    <w:p w14:paraId="5ADFFDFB" w14:textId="4E13F84B" w:rsidR="009B07B9" w:rsidRPr="009C201B" w:rsidRDefault="009B07B9" w:rsidP="00A01942">
      <w:pPr>
        <w:pStyle w:val="ListParagraph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4185ED5" w14:textId="28F913FD" w:rsidR="009B07B9" w:rsidRPr="00E12F9C" w:rsidRDefault="009B07B9" w:rsidP="009B07B9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sz w:val="20"/>
          <w:szCs w:val="20"/>
        </w:rPr>
        <w:tab/>
        <w:t>Διονύσης Πρωτοπαπάς</w:t>
      </w:r>
    </w:p>
    <w:p w14:paraId="76809026" w14:textId="001D48F9" w:rsidR="009B07B9" w:rsidRDefault="009B07B9" w:rsidP="009B07B9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12F9C">
        <w:rPr>
          <w:rFonts w:ascii="Arial" w:hAnsi="Arial" w:cs="Arial"/>
          <w:sz w:val="20"/>
          <w:szCs w:val="20"/>
        </w:rPr>
        <w:tab/>
        <w:t>Γενικός Σύμβουλος ΟΕΥ Β’</w:t>
      </w:r>
    </w:p>
    <w:p w14:paraId="7E852CC1" w14:textId="5612E013" w:rsidR="00EB580B" w:rsidRDefault="00EB580B" w:rsidP="009B07B9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D2B19C9" w14:textId="6F487C5E" w:rsidR="00EB580B" w:rsidRPr="00E12F9C" w:rsidRDefault="00EB580B" w:rsidP="009B07B9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ΖΠ/</w:t>
      </w:r>
    </w:p>
    <w:sectPr w:rsidR="00EB580B" w:rsidRPr="00E12F9C" w:rsidSect="005C19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EC0D" w14:textId="77777777" w:rsidR="000C7E9C" w:rsidRDefault="000C7E9C" w:rsidP="00ED0F59">
      <w:r>
        <w:separator/>
      </w:r>
    </w:p>
  </w:endnote>
  <w:endnote w:type="continuationSeparator" w:id="0">
    <w:p w14:paraId="5AC9E5C7" w14:textId="77777777" w:rsidR="000C7E9C" w:rsidRDefault="000C7E9C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19E3" w14:textId="77777777" w:rsidR="000C7E9C" w:rsidRDefault="000C7E9C" w:rsidP="00ED0F59">
      <w:r>
        <w:separator/>
      </w:r>
    </w:p>
  </w:footnote>
  <w:footnote w:type="continuationSeparator" w:id="0">
    <w:p w14:paraId="412C71E0" w14:textId="77777777" w:rsidR="000C7E9C" w:rsidRDefault="000C7E9C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5AF"/>
    <w:multiLevelType w:val="hybridMultilevel"/>
    <w:tmpl w:val="4006A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859EA"/>
    <w:multiLevelType w:val="hybridMultilevel"/>
    <w:tmpl w:val="97A87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29F"/>
    <w:multiLevelType w:val="multilevel"/>
    <w:tmpl w:val="C6A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41BD1"/>
    <w:multiLevelType w:val="multilevel"/>
    <w:tmpl w:val="C940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51A7"/>
    <w:multiLevelType w:val="hybridMultilevel"/>
    <w:tmpl w:val="7376EAB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70C3881"/>
    <w:multiLevelType w:val="multilevel"/>
    <w:tmpl w:val="FD3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967D4"/>
    <w:multiLevelType w:val="multilevel"/>
    <w:tmpl w:val="1D36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73759"/>
    <w:multiLevelType w:val="hybridMultilevel"/>
    <w:tmpl w:val="08DC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6FA6"/>
    <w:multiLevelType w:val="hybridMultilevel"/>
    <w:tmpl w:val="EF88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782F"/>
    <w:multiLevelType w:val="multilevel"/>
    <w:tmpl w:val="E30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4595F"/>
    <w:multiLevelType w:val="hybridMultilevel"/>
    <w:tmpl w:val="C45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50F77"/>
    <w:multiLevelType w:val="hybridMultilevel"/>
    <w:tmpl w:val="F4C83E1C"/>
    <w:lvl w:ilvl="0" w:tplc="18AE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A1C29"/>
    <w:multiLevelType w:val="hybridMultilevel"/>
    <w:tmpl w:val="FF80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F00DB"/>
    <w:multiLevelType w:val="hybridMultilevel"/>
    <w:tmpl w:val="F8D4A0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9CF5C9E"/>
    <w:multiLevelType w:val="hybridMultilevel"/>
    <w:tmpl w:val="B186D484"/>
    <w:lvl w:ilvl="0" w:tplc="BB986A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C5C"/>
    <w:multiLevelType w:val="multilevel"/>
    <w:tmpl w:val="766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60B37"/>
    <w:multiLevelType w:val="hybridMultilevel"/>
    <w:tmpl w:val="819EE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BA090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D6624C"/>
    <w:multiLevelType w:val="hybridMultilevel"/>
    <w:tmpl w:val="5BAAEE06"/>
    <w:lvl w:ilvl="0" w:tplc="9F668D6E">
      <w:numFmt w:val="bullet"/>
      <w:lvlText w:val="-"/>
      <w:lvlJc w:val="left"/>
      <w:pPr>
        <w:ind w:left="3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8" w15:restartNumberingAfterBreak="0">
    <w:nsid w:val="6BCB28DF"/>
    <w:multiLevelType w:val="hybridMultilevel"/>
    <w:tmpl w:val="6E2E4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C536850"/>
    <w:multiLevelType w:val="hybridMultilevel"/>
    <w:tmpl w:val="3B46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5CE0"/>
    <w:multiLevelType w:val="hybridMultilevel"/>
    <w:tmpl w:val="5D5E7CC2"/>
    <w:lvl w:ilvl="0" w:tplc="C0586D04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74EC466F"/>
    <w:multiLevelType w:val="hybridMultilevel"/>
    <w:tmpl w:val="9EAA7A34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1DEF"/>
    <w:multiLevelType w:val="hybridMultilevel"/>
    <w:tmpl w:val="359AAC9C"/>
    <w:lvl w:ilvl="0" w:tplc="31C83868">
      <w:numFmt w:val="bullet"/>
      <w:lvlText w:val="•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BA36447"/>
    <w:multiLevelType w:val="multilevel"/>
    <w:tmpl w:val="7100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2"/>
  </w:num>
  <w:num w:numId="5">
    <w:abstractNumId w:val="3"/>
  </w:num>
  <w:num w:numId="6">
    <w:abstractNumId w:val="17"/>
  </w:num>
  <w:num w:numId="7">
    <w:abstractNumId w:val="23"/>
  </w:num>
  <w:num w:numId="8">
    <w:abstractNumId w:val="14"/>
  </w:num>
  <w:num w:numId="9">
    <w:abstractNumId w:val="20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  <w:num w:numId="14">
    <w:abstractNumId w:val="12"/>
  </w:num>
  <w:num w:numId="15">
    <w:abstractNumId w:val="22"/>
  </w:num>
  <w:num w:numId="16">
    <w:abstractNumId w:val="21"/>
  </w:num>
  <w:num w:numId="17">
    <w:abstractNumId w:val="9"/>
  </w:num>
  <w:num w:numId="18">
    <w:abstractNumId w:val="5"/>
  </w:num>
  <w:num w:numId="19">
    <w:abstractNumId w:val="15"/>
  </w:num>
  <w:num w:numId="20">
    <w:abstractNumId w:val="18"/>
  </w:num>
  <w:num w:numId="21">
    <w:abstractNumId w:val="13"/>
  </w:num>
  <w:num w:numId="22">
    <w:abstractNumId w:val="0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23FA"/>
    <w:rsid w:val="0000572C"/>
    <w:rsid w:val="00014B2B"/>
    <w:rsid w:val="00015525"/>
    <w:rsid w:val="0001674E"/>
    <w:rsid w:val="000401B9"/>
    <w:rsid w:val="00040DF5"/>
    <w:rsid w:val="0004144E"/>
    <w:rsid w:val="00044782"/>
    <w:rsid w:val="000471DC"/>
    <w:rsid w:val="0005500E"/>
    <w:rsid w:val="00055836"/>
    <w:rsid w:val="0006685D"/>
    <w:rsid w:val="000668B8"/>
    <w:rsid w:val="00066926"/>
    <w:rsid w:val="00074468"/>
    <w:rsid w:val="0007753B"/>
    <w:rsid w:val="000808BE"/>
    <w:rsid w:val="0008347D"/>
    <w:rsid w:val="000A424F"/>
    <w:rsid w:val="000B6820"/>
    <w:rsid w:val="000C3CC2"/>
    <w:rsid w:val="000C7E54"/>
    <w:rsid w:val="000C7E9C"/>
    <w:rsid w:val="000D1317"/>
    <w:rsid w:val="000D1F85"/>
    <w:rsid w:val="000D5BF1"/>
    <w:rsid w:val="000E76F2"/>
    <w:rsid w:val="000E7F4F"/>
    <w:rsid w:val="000F0D92"/>
    <w:rsid w:val="000F290C"/>
    <w:rsid w:val="000F3F06"/>
    <w:rsid w:val="000F5549"/>
    <w:rsid w:val="000F7664"/>
    <w:rsid w:val="00106EDF"/>
    <w:rsid w:val="00120B26"/>
    <w:rsid w:val="00120F41"/>
    <w:rsid w:val="00124A68"/>
    <w:rsid w:val="00127461"/>
    <w:rsid w:val="00133ECA"/>
    <w:rsid w:val="00137237"/>
    <w:rsid w:val="001423D0"/>
    <w:rsid w:val="001436CF"/>
    <w:rsid w:val="0014506B"/>
    <w:rsid w:val="00145591"/>
    <w:rsid w:val="0014739D"/>
    <w:rsid w:val="001478E8"/>
    <w:rsid w:val="00151D6F"/>
    <w:rsid w:val="001567FE"/>
    <w:rsid w:val="0015688A"/>
    <w:rsid w:val="00160531"/>
    <w:rsid w:val="00160B57"/>
    <w:rsid w:val="00163D7C"/>
    <w:rsid w:val="001727BB"/>
    <w:rsid w:val="00172DED"/>
    <w:rsid w:val="00176189"/>
    <w:rsid w:val="001763A5"/>
    <w:rsid w:val="00187EF2"/>
    <w:rsid w:val="00190130"/>
    <w:rsid w:val="0019185E"/>
    <w:rsid w:val="00193471"/>
    <w:rsid w:val="00193F20"/>
    <w:rsid w:val="001A70FB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2D2D"/>
    <w:rsid w:val="001E30D3"/>
    <w:rsid w:val="001E4CCD"/>
    <w:rsid w:val="001E5773"/>
    <w:rsid w:val="001E5B93"/>
    <w:rsid w:val="001E6302"/>
    <w:rsid w:val="001E72D2"/>
    <w:rsid w:val="001E750D"/>
    <w:rsid w:val="001E7984"/>
    <w:rsid w:val="001F03AF"/>
    <w:rsid w:val="001F3212"/>
    <w:rsid w:val="001F75C2"/>
    <w:rsid w:val="001F7613"/>
    <w:rsid w:val="001F7E23"/>
    <w:rsid w:val="002076DF"/>
    <w:rsid w:val="00217651"/>
    <w:rsid w:val="00223260"/>
    <w:rsid w:val="0022399D"/>
    <w:rsid w:val="00226DC3"/>
    <w:rsid w:val="0022790A"/>
    <w:rsid w:val="0023260B"/>
    <w:rsid w:val="00232AD5"/>
    <w:rsid w:val="002332AA"/>
    <w:rsid w:val="00236858"/>
    <w:rsid w:val="002371AB"/>
    <w:rsid w:val="0024111A"/>
    <w:rsid w:val="002428D9"/>
    <w:rsid w:val="00242D48"/>
    <w:rsid w:val="00242F64"/>
    <w:rsid w:val="0024649B"/>
    <w:rsid w:val="002510E3"/>
    <w:rsid w:val="0025390A"/>
    <w:rsid w:val="00274043"/>
    <w:rsid w:val="002766E6"/>
    <w:rsid w:val="0028230E"/>
    <w:rsid w:val="0028546A"/>
    <w:rsid w:val="0028624E"/>
    <w:rsid w:val="00287445"/>
    <w:rsid w:val="002935CD"/>
    <w:rsid w:val="00294E5A"/>
    <w:rsid w:val="002A7DC6"/>
    <w:rsid w:val="002B069F"/>
    <w:rsid w:val="002B1D65"/>
    <w:rsid w:val="002B21CD"/>
    <w:rsid w:val="002B620E"/>
    <w:rsid w:val="002B62C7"/>
    <w:rsid w:val="002B737B"/>
    <w:rsid w:val="002C43D2"/>
    <w:rsid w:val="002C4A39"/>
    <w:rsid w:val="002D0F64"/>
    <w:rsid w:val="002D100E"/>
    <w:rsid w:val="002D66B0"/>
    <w:rsid w:val="002E6B9C"/>
    <w:rsid w:val="002F2E72"/>
    <w:rsid w:val="002F54CD"/>
    <w:rsid w:val="002F78C3"/>
    <w:rsid w:val="0030242B"/>
    <w:rsid w:val="003030BD"/>
    <w:rsid w:val="00304B38"/>
    <w:rsid w:val="003071A6"/>
    <w:rsid w:val="003119D0"/>
    <w:rsid w:val="00316371"/>
    <w:rsid w:val="0031656C"/>
    <w:rsid w:val="00321DD9"/>
    <w:rsid w:val="00327E0D"/>
    <w:rsid w:val="00330D19"/>
    <w:rsid w:val="00334A56"/>
    <w:rsid w:val="00335F13"/>
    <w:rsid w:val="0034521C"/>
    <w:rsid w:val="0034571D"/>
    <w:rsid w:val="003507B0"/>
    <w:rsid w:val="00350C32"/>
    <w:rsid w:val="003516C2"/>
    <w:rsid w:val="00355EF6"/>
    <w:rsid w:val="0035794B"/>
    <w:rsid w:val="00360631"/>
    <w:rsid w:val="00360EEC"/>
    <w:rsid w:val="003A0736"/>
    <w:rsid w:val="003A7F99"/>
    <w:rsid w:val="003B09B9"/>
    <w:rsid w:val="003B2DD2"/>
    <w:rsid w:val="003B518B"/>
    <w:rsid w:val="003C5FDE"/>
    <w:rsid w:val="003C70F4"/>
    <w:rsid w:val="003D0533"/>
    <w:rsid w:val="003D18E4"/>
    <w:rsid w:val="003D394D"/>
    <w:rsid w:val="003D5DFA"/>
    <w:rsid w:val="003E0C0B"/>
    <w:rsid w:val="003E0ED8"/>
    <w:rsid w:val="003E3BB8"/>
    <w:rsid w:val="003E7658"/>
    <w:rsid w:val="003E78F9"/>
    <w:rsid w:val="003F2EB7"/>
    <w:rsid w:val="003F3914"/>
    <w:rsid w:val="003F5791"/>
    <w:rsid w:val="003F5AEF"/>
    <w:rsid w:val="003F5B53"/>
    <w:rsid w:val="003F605F"/>
    <w:rsid w:val="004034F7"/>
    <w:rsid w:val="004036F8"/>
    <w:rsid w:val="004039BD"/>
    <w:rsid w:val="00405A32"/>
    <w:rsid w:val="00415F11"/>
    <w:rsid w:val="00420725"/>
    <w:rsid w:val="00420CBA"/>
    <w:rsid w:val="00421473"/>
    <w:rsid w:val="004258AB"/>
    <w:rsid w:val="004279E2"/>
    <w:rsid w:val="00436A52"/>
    <w:rsid w:val="00437712"/>
    <w:rsid w:val="004452F9"/>
    <w:rsid w:val="00452555"/>
    <w:rsid w:val="0045763E"/>
    <w:rsid w:val="00460B03"/>
    <w:rsid w:val="0046101E"/>
    <w:rsid w:val="00463E66"/>
    <w:rsid w:val="004640EB"/>
    <w:rsid w:val="004651FA"/>
    <w:rsid w:val="0047272D"/>
    <w:rsid w:val="004727C4"/>
    <w:rsid w:val="00472B82"/>
    <w:rsid w:val="00473856"/>
    <w:rsid w:val="004747E8"/>
    <w:rsid w:val="00476589"/>
    <w:rsid w:val="004832E8"/>
    <w:rsid w:val="00483C88"/>
    <w:rsid w:val="00483F46"/>
    <w:rsid w:val="004861E1"/>
    <w:rsid w:val="00486563"/>
    <w:rsid w:val="004A41CC"/>
    <w:rsid w:val="004B1A44"/>
    <w:rsid w:val="004B44C3"/>
    <w:rsid w:val="004C4DC9"/>
    <w:rsid w:val="004C4E3D"/>
    <w:rsid w:val="004C52A3"/>
    <w:rsid w:val="004C7B75"/>
    <w:rsid w:val="004D7AE5"/>
    <w:rsid w:val="004E0CD9"/>
    <w:rsid w:val="004E4AAD"/>
    <w:rsid w:val="004E4AF3"/>
    <w:rsid w:val="004F2DCA"/>
    <w:rsid w:val="004F5107"/>
    <w:rsid w:val="0050019F"/>
    <w:rsid w:val="00501183"/>
    <w:rsid w:val="00503B3E"/>
    <w:rsid w:val="00504499"/>
    <w:rsid w:val="00510381"/>
    <w:rsid w:val="00510836"/>
    <w:rsid w:val="00512E83"/>
    <w:rsid w:val="00517DE1"/>
    <w:rsid w:val="00522BA2"/>
    <w:rsid w:val="00523013"/>
    <w:rsid w:val="005240FE"/>
    <w:rsid w:val="00524D35"/>
    <w:rsid w:val="00525E0C"/>
    <w:rsid w:val="00526360"/>
    <w:rsid w:val="00530C7F"/>
    <w:rsid w:val="0053200C"/>
    <w:rsid w:val="00542234"/>
    <w:rsid w:val="0054304C"/>
    <w:rsid w:val="005442AE"/>
    <w:rsid w:val="005500C6"/>
    <w:rsid w:val="005538EB"/>
    <w:rsid w:val="00553B70"/>
    <w:rsid w:val="005568EB"/>
    <w:rsid w:val="00557FEE"/>
    <w:rsid w:val="00562706"/>
    <w:rsid w:val="00562B09"/>
    <w:rsid w:val="005725CB"/>
    <w:rsid w:val="00572768"/>
    <w:rsid w:val="0057313E"/>
    <w:rsid w:val="00575F88"/>
    <w:rsid w:val="00577106"/>
    <w:rsid w:val="0057723F"/>
    <w:rsid w:val="005776AD"/>
    <w:rsid w:val="00581695"/>
    <w:rsid w:val="0058198B"/>
    <w:rsid w:val="005845F8"/>
    <w:rsid w:val="005848B3"/>
    <w:rsid w:val="00595A5D"/>
    <w:rsid w:val="00595CDE"/>
    <w:rsid w:val="00596AA7"/>
    <w:rsid w:val="005A0593"/>
    <w:rsid w:val="005A669C"/>
    <w:rsid w:val="005B1925"/>
    <w:rsid w:val="005B1AD0"/>
    <w:rsid w:val="005B257B"/>
    <w:rsid w:val="005B3762"/>
    <w:rsid w:val="005B741D"/>
    <w:rsid w:val="005C0516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E1DC4"/>
    <w:rsid w:val="005E6FA9"/>
    <w:rsid w:val="005E74C0"/>
    <w:rsid w:val="005F0E70"/>
    <w:rsid w:val="005F36D0"/>
    <w:rsid w:val="00602A39"/>
    <w:rsid w:val="00612E33"/>
    <w:rsid w:val="00613C0F"/>
    <w:rsid w:val="006143CE"/>
    <w:rsid w:val="00622DBA"/>
    <w:rsid w:val="006273B9"/>
    <w:rsid w:val="00632545"/>
    <w:rsid w:val="00633339"/>
    <w:rsid w:val="00633E7E"/>
    <w:rsid w:val="006363D8"/>
    <w:rsid w:val="006473A2"/>
    <w:rsid w:val="0065076B"/>
    <w:rsid w:val="006516F4"/>
    <w:rsid w:val="00656901"/>
    <w:rsid w:val="00662B2C"/>
    <w:rsid w:val="00670F9D"/>
    <w:rsid w:val="0067460E"/>
    <w:rsid w:val="00674B85"/>
    <w:rsid w:val="00681E8A"/>
    <w:rsid w:val="006833AB"/>
    <w:rsid w:val="00683C78"/>
    <w:rsid w:val="00686E7D"/>
    <w:rsid w:val="00690B96"/>
    <w:rsid w:val="00693627"/>
    <w:rsid w:val="00695651"/>
    <w:rsid w:val="006956E9"/>
    <w:rsid w:val="00695B1A"/>
    <w:rsid w:val="0069643C"/>
    <w:rsid w:val="006A51FC"/>
    <w:rsid w:val="006A5736"/>
    <w:rsid w:val="006A66C9"/>
    <w:rsid w:val="006B1830"/>
    <w:rsid w:val="006B44D0"/>
    <w:rsid w:val="006C3964"/>
    <w:rsid w:val="006C4595"/>
    <w:rsid w:val="006C4739"/>
    <w:rsid w:val="006C4750"/>
    <w:rsid w:val="006D6F58"/>
    <w:rsid w:val="006D7D75"/>
    <w:rsid w:val="006E2A6E"/>
    <w:rsid w:val="006E79E2"/>
    <w:rsid w:val="006F28FB"/>
    <w:rsid w:val="006F7489"/>
    <w:rsid w:val="00703E84"/>
    <w:rsid w:val="0070655B"/>
    <w:rsid w:val="0071199C"/>
    <w:rsid w:val="00714D4F"/>
    <w:rsid w:val="00715052"/>
    <w:rsid w:val="00716E63"/>
    <w:rsid w:val="00721EB0"/>
    <w:rsid w:val="007271DD"/>
    <w:rsid w:val="007301B4"/>
    <w:rsid w:val="0073641C"/>
    <w:rsid w:val="0074176D"/>
    <w:rsid w:val="007503E7"/>
    <w:rsid w:val="00751E97"/>
    <w:rsid w:val="00752DCA"/>
    <w:rsid w:val="00753367"/>
    <w:rsid w:val="00755C86"/>
    <w:rsid w:val="00757A3A"/>
    <w:rsid w:val="00762188"/>
    <w:rsid w:val="00762A36"/>
    <w:rsid w:val="0077257E"/>
    <w:rsid w:val="00773C76"/>
    <w:rsid w:val="007744ED"/>
    <w:rsid w:val="007766D7"/>
    <w:rsid w:val="0078278E"/>
    <w:rsid w:val="00784326"/>
    <w:rsid w:val="0078614F"/>
    <w:rsid w:val="00786736"/>
    <w:rsid w:val="00786E6A"/>
    <w:rsid w:val="0078711A"/>
    <w:rsid w:val="007933C1"/>
    <w:rsid w:val="00793DA4"/>
    <w:rsid w:val="0079435D"/>
    <w:rsid w:val="007A02F5"/>
    <w:rsid w:val="007B340D"/>
    <w:rsid w:val="007B74CE"/>
    <w:rsid w:val="007C2E2E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8003DD"/>
    <w:rsid w:val="008008DA"/>
    <w:rsid w:val="0080411D"/>
    <w:rsid w:val="00821A15"/>
    <w:rsid w:val="00842C8F"/>
    <w:rsid w:val="00843725"/>
    <w:rsid w:val="00843C80"/>
    <w:rsid w:val="0085151E"/>
    <w:rsid w:val="008518E3"/>
    <w:rsid w:val="00856DDA"/>
    <w:rsid w:val="0085709D"/>
    <w:rsid w:val="00861469"/>
    <w:rsid w:val="00863B67"/>
    <w:rsid w:val="0086589A"/>
    <w:rsid w:val="00866B1A"/>
    <w:rsid w:val="00871234"/>
    <w:rsid w:val="008732E1"/>
    <w:rsid w:val="00873760"/>
    <w:rsid w:val="00877113"/>
    <w:rsid w:val="008815F9"/>
    <w:rsid w:val="008853A7"/>
    <w:rsid w:val="00886F00"/>
    <w:rsid w:val="008873B7"/>
    <w:rsid w:val="008B197A"/>
    <w:rsid w:val="008B3955"/>
    <w:rsid w:val="008B4613"/>
    <w:rsid w:val="008B520F"/>
    <w:rsid w:val="008C1745"/>
    <w:rsid w:val="008C21B9"/>
    <w:rsid w:val="008C472E"/>
    <w:rsid w:val="008D3B83"/>
    <w:rsid w:val="008D3BA0"/>
    <w:rsid w:val="008D49B0"/>
    <w:rsid w:val="008D75FE"/>
    <w:rsid w:val="008E633D"/>
    <w:rsid w:val="008E64F5"/>
    <w:rsid w:val="008E79F9"/>
    <w:rsid w:val="00900BED"/>
    <w:rsid w:val="00912D70"/>
    <w:rsid w:val="00914F19"/>
    <w:rsid w:val="00915CBB"/>
    <w:rsid w:val="00922C90"/>
    <w:rsid w:val="00923F39"/>
    <w:rsid w:val="0093072D"/>
    <w:rsid w:val="009355D4"/>
    <w:rsid w:val="009375AA"/>
    <w:rsid w:val="00944297"/>
    <w:rsid w:val="00945FC6"/>
    <w:rsid w:val="00946531"/>
    <w:rsid w:val="00946D57"/>
    <w:rsid w:val="009515C1"/>
    <w:rsid w:val="00954019"/>
    <w:rsid w:val="00957D82"/>
    <w:rsid w:val="00960E9F"/>
    <w:rsid w:val="00974207"/>
    <w:rsid w:val="00977813"/>
    <w:rsid w:val="00982448"/>
    <w:rsid w:val="00982C48"/>
    <w:rsid w:val="00985F9B"/>
    <w:rsid w:val="009A02B2"/>
    <w:rsid w:val="009A3FA9"/>
    <w:rsid w:val="009A4450"/>
    <w:rsid w:val="009B07B9"/>
    <w:rsid w:val="009B2E11"/>
    <w:rsid w:val="009B5AF4"/>
    <w:rsid w:val="009B68B7"/>
    <w:rsid w:val="009C201B"/>
    <w:rsid w:val="009C7B54"/>
    <w:rsid w:val="009D30D2"/>
    <w:rsid w:val="009D4866"/>
    <w:rsid w:val="009D4DE8"/>
    <w:rsid w:val="009F39E0"/>
    <w:rsid w:val="009F4DAC"/>
    <w:rsid w:val="00A009FC"/>
    <w:rsid w:val="00A01942"/>
    <w:rsid w:val="00A045A2"/>
    <w:rsid w:val="00A10E4C"/>
    <w:rsid w:val="00A234B3"/>
    <w:rsid w:val="00A30971"/>
    <w:rsid w:val="00A36763"/>
    <w:rsid w:val="00A454C9"/>
    <w:rsid w:val="00A53DCC"/>
    <w:rsid w:val="00A5729F"/>
    <w:rsid w:val="00A60C38"/>
    <w:rsid w:val="00A65F38"/>
    <w:rsid w:val="00A65F39"/>
    <w:rsid w:val="00A676D7"/>
    <w:rsid w:val="00A71558"/>
    <w:rsid w:val="00A73AC3"/>
    <w:rsid w:val="00A961AE"/>
    <w:rsid w:val="00AA30EC"/>
    <w:rsid w:val="00AB011E"/>
    <w:rsid w:val="00AC56D5"/>
    <w:rsid w:val="00AC5C0F"/>
    <w:rsid w:val="00AC771D"/>
    <w:rsid w:val="00AD18BD"/>
    <w:rsid w:val="00AD386B"/>
    <w:rsid w:val="00AD3AA6"/>
    <w:rsid w:val="00AD6126"/>
    <w:rsid w:val="00AE4893"/>
    <w:rsid w:val="00AE756B"/>
    <w:rsid w:val="00AF0144"/>
    <w:rsid w:val="00AF0268"/>
    <w:rsid w:val="00AF4268"/>
    <w:rsid w:val="00AF4963"/>
    <w:rsid w:val="00AF52A3"/>
    <w:rsid w:val="00AF5AA0"/>
    <w:rsid w:val="00AF5ABB"/>
    <w:rsid w:val="00AF6EF8"/>
    <w:rsid w:val="00B0195B"/>
    <w:rsid w:val="00B020AB"/>
    <w:rsid w:val="00B066C5"/>
    <w:rsid w:val="00B06B5B"/>
    <w:rsid w:val="00B117CC"/>
    <w:rsid w:val="00B11AF4"/>
    <w:rsid w:val="00B11E9E"/>
    <w:rsid w:val="00B214AF"/>
    <w:rsid w:val="00B2345C"/>
    <w:rsid w:val="00B23721"/>
    <w:rsid w:val="00B23CBA"/>
    <w:rsid w:val="00B244C5"/>
    <w:rsid w:val="00B246CF"/>
    <w:rsid w:val="00B30A4D"/>
    <w:rsid w:val="00B30DC8"/>
    <w:rsid w:val="00B31FF4"/>
    <w:rsid w:val="00B33BEB"/>
    <w:rsid w:val="00B42700"/>
    <w:rsid w:val="00B4342D"/>
    <w:rsid w:val="00B438B4"/>
    <w:rsid w:val="00B43BC6"/>
    <w:rsid w:val="00B44960"/>
    <w:rsid w:val="00B455D2"/>
    <w:rsid w:val="00B45756"/>
    <w:rsid w:val="00B47EC1"/>
    <w:rsid w:val="00B47F04"/>
    <w:rsid w:val="00B57147"/>
    <w:rsid w:val="00B62DD4"/>
    <w:rsid w:val="00B7166C"/>
    <w:rsid w:val="00B71812"/>
    <w:rsid w:val="00B73848"/>
    <w:rsid w:val="00B757E2"/>
    <w:rsid w:val="00B7590C"/>
    <w:rsid w:val="00B76773"/>
    <w:rsid w:val="00B768EC"/>
    <w:rsid w:val="00B770F7"/>
    <w:rsid w:val="00B906E0"/>
    <w:rsid w:val="00B9221C"/>
    <w:rsid w:val="00B92A35"/>
    <w:rsid w:val="00B953FD"/>
    <w:rsid w:val="00BA1A01"/>
    <w:rsid w:val="00BA2011"/>
    <w:rsid w:val="00BB0D2C"/>
    <w:rsid w:val="00BB4B8C"/>
    <w:rsid w:val="00BB68E8"/>
    <w:rsid w:val="00BB6E75"/>
    <w:rsid w:val="00BB7834"/>
    <w:rsid w:val="00BC024D"/>
    <w:rsid w:val="00BC1A7D"/>
    <w:rsid w:val="00BD1DD5"/>
    <w:rsid w:val="00BD65D7"/>
    <w:rsid w:val="00BF38C1"/>
    <w:rsid w:val="00BF4FD7"/>
    <w:rsid w:val="00BF5AE2"/>
    <w:rsid w:val="00BF5E93"/>
    <w:rsid w:val="00C0294C"/>
    <w:rsid w:val="00C03628"/>
    <w:rsid w:val="00C039B3"/>
    <w:rsid w:val="00C054E4"/>
    <w:rsid w:val="00C13A00"/>
    <w:rsid w:val="00C14E2D"/>
    <w:rsid w:val="00C16E71"/>
    <w:rsid w:val="00C20865"/>
    <w:rsid w:val="00C23585"/>
    <w:rsid w:val="00C23BB8"/>
    <w:rsid w:val="00C25A68"/>
    <w:rsid w:val="00C25E7F"/>
    <w:rsid w:val="00C30777"/>
    <w:rsid w:val="00C329EE"/>
    <w:rsid w:val="00C34236"/>
    <w:rsid w:val="00C427B1"/>
    <w:rsid w:val="00C44D21"/>
    <w:rsid w:val="00C47F69"/>
    <w:rsid w:val="00C56838"/>
    <w:rsid w:val="00C56ECF"/>
    <w:rsid w:val="00C5723F"/>
    <w:rsid w:val="00C61A94"/>
    <w:rsid w:val="00C62429"/>
    <w:rsid w:val="00C6566C"/>
    <w:rsid w:val="00C65D0C"/>
    <w:rsid w:val="00C665A7"/>
    <w:rsid w:val="00C7542F"/>
    <w:rsid w:val="00C81374"/>
    <w:rsid w:val="00C83C8E"/>
    <w:rsid w:val="00C87FB1"/>
    <w:rsid w:val="00C9177C"/>
    <w:rsid w:val="00C91D29"/>
    <w:rsid w:val="00CA0F78"/>
    <w:rsid w:val="00CA45D3"/>
    <w:rsid w:val="00CA62A6"/>
    <w:rsid w:val="00CB1466"/>
    <w:rsid w:val="00CB22B9"/>
    <w:rsid w:val="00CB5A0D"/>
    <w:rsid w:val="00CC7D56"/>
    <w:rsid w:val="00CD01E4"/>
    <w:rsid w:val="00CE2EBA"/>
    <w:rsid w:val="00CE321F"/>
    <w:rsid w:val="00CE3AF2"/>
    <w:rsid w:val="00CF5878"/>
    <w:rsid w:val="00CF6087"/>
    <w:rsid w:val="00CF6BBC"/>
    <w:rsid w:val="00D01121"/>
    <w:rsid w:val="00D01B41"/>
    <w:rsid w:val="00D02907"/>
    <w:rsid w:val="00D05FC7"/>
    <w:rsid w:val="00D06CB8"/>
    <w:rsid w:val="00D116D8"/>
    <w:rsid w:val="00D11AFB"/>
    <w:rsid w:val="00D12006"/>
    <w:rsid w:val="00D14AF0"/>
    <w:rsid w:val="00D24EBD"/>
    <w:rsid w:val="00D255AE"/>
    <w:rsid w:val="00D25FB7"/>
    <w:rsid w:val="00D26C17"/>
    <w:rsid w:val="00D32C3E"/>
    <w:rsid w:val="00D364AC"/>
    <w:rsid w:val="00D37317"/>
    <w:rsid w:val="00D41265"/>
    <w:rsid w:val="00D41748"/>
    <w:rsid w:val="00D44771"/>
    <w:rsid w:val="00D55244"/>
    <w:rsid w:val="00D57C37"/>
    <w:rsid w:val="00D620B4"/>
    <w:rsid w:val="00D6726E"/>
    <w:rsid w:val="00D72177"/>
    <w:rsid w:val="00D74296"/>
    <w:rsid w:val="00D84992"/>
    <w:rsid w:val="00D85A7D"/>
    <w:rsid w:val="00D86149"/>
    <w:rsid w:val="00D86BF6"/>
    <w:rsid w:val="00D87A71"/>
    <w:rsid w:val="00D93EAA"/>
    <w:rsid w:val="00D9633B"/>
    <w:rsid w:val="00DA3FA8"/>
    <w:rsid w:val="00DA4B4A"/>
    <w:rsid w:val="00DA5ACF"/>
    <w:rsid w:val="00DB0C4C"/>
    <w:rsid w:val="00DB35E4"/>
    <w:rsid w:val="00DB390E"/>
    <w:rsid w:val="00DB44D4"/>
    <w:rsid w:val="00DB4B9F"/>
    <w:rsid w:val="00DB65FB"/>
    <w:rsid w:val="00DB77B8"/>
    <w:rsid w:val="00DC0E68"/>
    <w:rsid w:val="00DC62C0"/>
    <w:rsid w:val="00DC7CB8"/>
    <w:rsid w:val="00DD34E4"/>
    <w:rsid w:val="00DD51D3"/>
    <w:rsid w:val="00DD6657"/>
    <w:rsid w:val="00DE24EE"/>
    <w:rsid w:val="00DE3394"/>
    <w:rsid w:val="00DF182F"/>
    <w:rsid w:val="00DF708B"/>
    <w:rsid w:val="00DF72BB"/>
    <w:rsid w:val="00E0044C"/>
    <w:rsid w:val="00E005BD"/>
    <w:rsid w:val="00E00D71"/>
    <w:rsid w:val="00E0641C"/>
    <w:rsid w:val="00E10A58"/>
    <w:rsid w:val="00E11742"/>
    <w:rsid w:val="00E12B72"/>
    <w:rsid w:val="00E12F9C"/>
    <w:rsid w:val="00E16D80"/>
    <w:rsid w:val="00E22D4C"/>
    <w:rsid w:val="00E23E89"/>
    <w:rsid w:val="00E25B5F"/>
    <w:rsid w:val="00E27FA4"/>
    <w:rsid w:val="00E443EA"/>
    <w:rsid w:val="00E463DC"/>
    <w:rsid w:val="00E472CB"/>
    <w:rsid w:val="00E511C9"/>
    <w:rsid w:val="00E55557"/>
    <w:rsid w:val="00E6042F"/>
    <w:rsid w:val="00E60884"/>
    <w:rsid w:val="00E6140F"/>
    <w:rsid w:val="00E62B67"/>
    <w:rsid w:val="00E62F76"/>
    <w:rsid w:val="00E670F3"/>
    <w:rsid w:val="00E722BC"/>
    <w:rsid w:val="00E73965"/>
    <w:rsid w:val="00E818C6"/>
    <w:rsid w:val="00E84048"/>
    <w:rsid w:val="00E84902"/>
    <w:rsid w:val="00E90849"/>
    <w:rsid w:val="00E92ACC"/>
    <w:rsid w:val="00E94D8F"/>
    <w:rsid w:val="00EA29C4"/>
    <w:rsid w:val="00EA5072"/>
    <w:rsid w:val="00EA744B"/>
    <w:rsid w:val="00EB2468"/>
    <w:rsid w:val="00EB33D9"/>
    <w:rsid w:val="00EB5433"/>
    <w:rsid w:val="00EB580B"/>
    <w:rsid w:val="00EC1727"/>
    <w:rsid w:val="00EC39B9"/>
    <w:rsid w:val="00EC4D3D"/>
    <w:rsid w:val="00ED0F59"/>
    <w:rsid w:val="00ED7EF2"/>
    <w:rsid w:val="00EE0A82"/>
    <w:rsid w:val="00EE292F"/>
    <w:rsid w:val="00EE330F"/>
    <w:rsid w:val="00EE7F0B"/>
    <w:rsid w:val="00EF1334"/>
    <w:rsid w:val="00EF2036"/>
    <w:rsid w:val="00EF608D"/>
    <w:rsid w:val="00EF6350"/>
    <w:rsid w:val="00F00763"/>
    <w:rsid w:val="00F00AB1"/>
    <w:rsid w:val="00F03546"/>
    <w:rsid w:val="00F04785"/>
    <w:rsid w:val="00F04C18"/>
    <w:rsid w:val="00F07E81"/>
    <w:rsid w:val="00F106BC"/>
    <w:rsid w:val="00F10FF7"/>
    <w:rsid w:val="00F163DB"/>
    <w:rsid w:val="00F17442"/>
    <w:rsid w:val="00F25492"/>
    <w:rsid w:val="00F302A5"/>
    <w:rsid w:val="00F35B62"/>
    <w:rsid w:val="00F41F9E"/>
    <w:rsid w:val="00F43017"/>
    <w:rsid w:val="00F45213"/>
    <w:rsid w:val="00F46E7A"/>
    <w:rsid w:val="00F500B9"/>
    <w:rsid w:val="00F5117A"/>
    <w:rsid w:val="00F51A13"/>
    <w:rsid w:val="00F52C33"/>
    <w:rsid w:val="00F53A58"/>
    <w:rsid w:val="00F57028"/>
    <w:rsid w:val="00F60974"/>
    <w:rsid w:val="00F63322"/>
    <w:rsid w:val="00F63964"/>
    <w:rsid w:val="00F6532E"/>
    <w:rsid w:val="00F67230"/>
    <w:rsid w:val="00F705C3"/>
    <w:rsid w:val="00F7145B"/>
    <w:rsid w:val="00F74081"/>
    <w:rsid w:val="00F76353"/>
    <w:rsid w:val="00F76B1C"/>
    <w:rsid w:val="00F817E4"/>
    <w:rsid w:val="00F8513A"/>
    <w:rsid w:val="00F8704C"/>
    <w:rsid w:val="00F91E0D"/>
    <w:rsid w:val="00F91F73"/>
    <w:rsid w:val="00F93E9F"/>
    <w:rsid w:val="00FA299F"/>
    <w:rsid w:val="00FA333E"/>
    <w:rsid w:val="00FA6C4E"/>
    <w:rsid w:val="00FA74A0"/>
    <w:rsid w:val="00FB3073"/>
    <w:rsid w:val="00FB3A0B"/>
    <w:rsid w:val="00FC0C00"/>
    <w:rsid w:val="00FC764A"/>
    <w:rsid w:val="00FD33AB"/>
    <w:rsid w:val="00FD51C6"/>
    <w:rsid w:val="00FE29AC"/>
    <w:rsid w:val="00FE326F"/>
    <w:rsid w:val="00FE3D48"/>
    <w:rsid w:val="00FE6AFC"/>
    <w:rsid w:val="00FF0FB0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  <w:style w:type="character" w:customStyle="1" w:styleId="vkekvd">
    <w:name w:val="vkekvd"/>
    <w:basedOn w:val="DefaultParagraphFont"/>
    <w:rsid w:val="00695651"/>
  </w:style>
  <w:style w:type="character" w:customStyle="1" w:styleId="t286pc">
    <w:name w:val="t286pc"/>
    <w:basedOn w:val="DefaultParagraphFont"/>
    <w:rsid w:val="00695651"/>
  </w:style>
  <w:style w:type="character" w:customStyle="1" w:styleId="ifmvxd">
    <w:name w:val="ifmvxd"/>
    <w:basedOn w:val="DefaultParagraphFont"/>
    <w:rsid w:val="00EC4D3D"/>
  </w:style>
  <w:style w:type="character" w:customStyle="1" w:styleId="ijm6od">
    <w:name w:val="ijm6od"/>
    <w:basedOn w:val="DefaultParagraphFont"/>
    <w:rsid w:val="00EC4D3D"/>
  </w:style>
  <w:style w:type="paragraph" w:customStyle="1" w:styleId="df3vjf">
    <w:name w:val="df3vjf"/>
    <w:basedOn w:val="Normal"/>
    <w:rsid w:val="00EC4D3D"/>
    <w:pPr>
      <w:spacing w:before="100" w:beforeAutospacing="1" w:after="100" w:afterAutospacing="1"/>
    </w:pPr>
    <w:rPr>
      <w:lang w:val="en-US" w:eastAsia="en-US"/>
    </w:rPr>
  </w:style>
  <w:style w:type="paragraph" w:customStyle="1" w:styleId="css-1akm6h5-paragraph">
    <w:name w:val="css-1akm6h5-paragraph"/>
    <w:basedOn w:val="Normal"/>
    <w:rsid w:val="004E0CD9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B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E1D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DC4"/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7887-1D8E-4C8C-AE58-F8C1C49B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71</cp:revision>
  <cp:lastPrinted>2025-09-18T22:55:00Z</cp:lastPrinted>
  <dcterms:created xsi:type="dcterms:W3CDTF">2026-02-27T16:37:00Z</dcterms:created>
  <dcterms:modified xsi:type="dcterms:W3CDTF">2026-05-05T19:57:00Z</dcterms:modified>
</cp:coreProperties>
</file>