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BC500" w14:textId="71AB5BD0" w:rsidR="0028546A" w:rsidRDefault="0028546A" w:rsidP="00575F88">
      <w:pPr>
        <w:ind w:right="-108"/>
        <w:jc w:val="right"/>
        <w:rPr>
          <w:rFonts w:ascii="Arial" w:hAnsi="Arial" w:cs="Arial"/>
          <w:b/>
        </w:rPr>
      </w:pPr>
      <w:r>
        <w:rPr>
          <w:rFonts w:ascii="Arial" w:hAnsi="Arial" w:cs="Arial"/>
          <w:noProof/>
        </w:rPr>
        <w:drawing>
          <wp:anchor distT="0" distB="0" distL="114300" distR="114300" simplePos="0" relativeHeight="251658240" behindDoc="1" locked="0" layoutInCell="1" allowOverlap="1" wp14:anchorId="49E1F3C5" wp14:editId="08044451">
            <wp:simplePos x="0" y="0"/>
            <wp:positionH relativeFrom="column">
              <wp:posOffset>971550</wp:posOffset>
            </wp:positionH>
            <wp:positionV relativeFrom="paragraph">
              <wp:posOffset>1905</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AA4CDE6" w14:textId="77777777" w:rsidR="0028546A" w:rsidRDefault="0028546A" w:rsidP="0028546A">
      <w:pPr>
        <w:ind w:right="-108"/>
        <w:jc w:val="right"/>
        <w:rPr>
          <w:rFonts w:ascii="Arial" w:hAnsi="Arial" w:cs="Arial"/>
          <w:b/>
        </w:rPr>
      </w:pPr>
    </w:p>
    <w:p w14:paraId="28E46347" w14:textId="6A1FF04E" w:rsidR="0028546A" w:rsidRDefault="0028546A" w:rsidP="0028546A">
      <w:pPr>
        <w:tabs>
          <w:tab w:val="center" w:pos="5760"/>
        </w:tabs>
        <w:jc w:val="right"/>
        <w:rPr>
          <w:rFonts w:ascii="Arial" w:hAnsi="Arial" w:cs="Arial"/>
          <w:sz w:val="20"/>
          <w:szCs w:val="20"/>
        </w:rPr>
      </w:pPr>
    </w:p>
    <w:p w14:paraId="2F8A6771" w14:textId="77777777" w:rsidR="00575F88" w:rsidRDefault="0028546A" w:rsidP="0028546A">
      <w:pPr>
        <w:tabs>
          <w:tab w:val="center" w:pos="1890"/>
        </w:tabs>
        <w:ind w:left="-18"/>
        <w:rPr>
          <w:rFonts w:ascii="Arial" w:hAnsi="Arial" w:cs="Arial"/>
          <w:b/>
          <w:color w:val="003DCC"/>
          <w:sz w:val="20"/>
          <w:szCs w:val="20"/>
        </w:rPr>
      </w:pPr>
      <w:r>
        <w:rPr>
          <w:rFonts w:ascii="Arial" w:hAnsi="Arial" w:cs="Arial"/>
          <w:b/>
          <w:color w:val="003DCC"/>
          <w:sz w:val="20"/>
          <w:szCs w:val="20"/>
        </w:rPr>
        <w:tab/>
      </w:r>
    </w:p>
    <w:p w14:paraId="649BD5DB" w14:textId="5DE94BB8" w:rsidR="0028546A" w:rsidRPr="00A045A2" w:rsidRDefault="00575F88" w:rsidP="0028546A">
      <w:pPr>
        <w:tabs>
          <w:tab w:val="center" w:pos="1890"/>
        </w:tabs>
        <w:ind w:left="-18"/>
        <w:rPr>
          <w:rFonts w:ascii="Arial" w:hAnsi="Arial" w:cs="Arial"/>
          <w:b/>
          <w:color w:val="003DCC"/>
          <w:sz w:val="20"/>
          <w:szCs w:val="20"/>
        </w:rPr>
      </w:pPr>
      <w:r w:rsidRPr="00BB68E8">
        <w:rPr>
          <w:rFonts w:ascii="Arial" w:hAnsi="Arial" w:cs="Arial"/>
          <w:b/>
          <w:color w:val="003DCC"/>
          <w:sz w:val="20"/>
          <w:szCs w:val="20"/>
        </w:rPr>
        <w:t xml:space="preserve">            </w:t>
      </w:r>
      <w:r w:rsidR="0028546A" w:rsidRPr="00A045A2">
        <w:rPr>
          <w:rFonts w:ascii="Arial" w:hAnsi="Arial" w:cs="Arial"/>
          <w:b/>
          <w:color w:val="003DCC"/>
          <w:sz w:val="20"/>
          <w:szCs w:val="20"/>
        </w:rPr>
        <w:t>ΕΛΛΗΝΙΚΗ ΔΗΜΟΚΡΑΤΙΑ</w:t>
      </w:r>
    </w:p>
    <w:p w14:paraId="496829FE" w14:textId="34FC0D4C" w:rsidR="0028546A" w:rsidRPr="00A045A2" w:rsidRDefault="0028546A" w:rsidP="0028546A">
      <w:pPr>
        <w:tabs>
          <w:tab w:val="center" w:pos="1890"/>
        </w:tabs>
        <w:ind w:left="-18"/>
        <w:rPr>
          <w:rFonts w:ascii="Arial" w:hAnsi="Arial" w:cs="Arial"/>
          <w:color w:val="003DCC"/>
          <w:sz w:val="20"/>
          <w:szCs w:val="20"/>
        </w:rPr>
      </w:pPr>
      <w:bookmarkStart w:id="0"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0"/>
    </w:p>
    <w:p w14:paraId="0CAE6840" w14:textId="4496F014" w:rsidR="0028546A" w:rsidRDefault="0028546A" w:rsidP="0028546A">
      <w:pPr>
        <w:tabs>
          <w:tab w:val="center" w:pos="1890"/>
          <w:tab w:val="center" w:pos="5760"/>
        </w:tabs>
        <w:rPr>
          <w:rFonts w:ascii="Arial" w:hAnsi="Arial" w:cs="Arial"/>
          <w:color w:val="003DCC"/>
          <w:sz w:val="20"/>
          <w:szCs w:val="20"/>
        </w:rPr>
      </w:pPr>
      <w:r>
        <w:rPr>
          <w:rFonts w:ascii="Arial" w:hAnsi="Arial" w:cs="Arial"/>
          <w:color w:val="003DCC"/>
          <w:sz w:val="20"/>
          <w:szCs w:val="20"/>
        </w:rPr>
        <w:tab/>
      </w:r>
      <w:r w:rsidRPr="00A045A2">
        <w:rPr>
          <w:rFonts w:ascii="Arial" w:hAnsi="Arial" w:cs="Arial"/>
          <w:color w:val="003DCC"/>
          <w:sz w:val="20"/>
          <w:szCs w:val="20"/>
        </w:rPr>
        <w:t>Ουάσιγκτων</w:t>
      </w:r>
    </w:p>
    <w:p w14:paraId="25B6E9B0" w14:textId="6ABA0D0F" w:rsidR="0028546A" w:rsidRPr="0028546A" w:rsidRDefault="0028546A" w:rsidP="0028546A">
      <w:pPr>
        <w:tabs>
          <w:tab w:val="center" w:pos="1890"/>
        </w:tabs>
        <w:ind w:left="-18"/>
        <w:rPr>
          <w:rFonts w:ascii="Arial" w:hAnsi="Arial" w:cs="Arial"/>
          <w:color w:val="003DCC"/>
          <w:sz w:val="18"/>
          <w:szCs w:val="18"/>
        </w:rPr>
      </w:pPr>
      <w:bookmarkStart w:id="1" w:name="ΤΙΤΛΟΣ_2"/>
      <w:r w:rsidRPr="0028546A">
        <w:rPr>
          <w:rFonts w:ascii="Arial" w:hAnsi="Arial" w:cs="Arial"/>
          <w:color w:val="003DCC"/>
          <w:sz w:val="18"/>
          <w:szCs w:val="18"/>
        </w:rPr>
        <w:tab/>
        <w:t>Γραφείο Οικονομικών &amp; Εμπορικών Υποθέσεων</w:t>
      </w:r>
      <w:bookmarkEnd w:id="1"/>
    </w:p>
    <w:p w14:paraId="1A3B6729" w14:textId="4FF72BC4" w:rsidR="0028546A" w:rsidRDefault="0028546A" w:rsidP="0028546A">
      <w:pPr>
        <w:tabs>
          <w:tab w:val="center" w:pos="1890"/>
          <w:tab w:val="center" w:pos="5580"/>
        </w:tabs>
        <w:rPr>
          <w:rFonts w:ascii="Arial" w:hAnsi="Arial" w:cs="Arial"/>
          <w:sz w:val="20"/>
          <w:szCs w:val="20"/>
        </w:rPr>
      </w:pPr>
      <w:r w:rsidRPr="002371AB">
        <w:rPr>
          <w:rFonts w:ascii="Arial" w:hAnsi="Arial" w:cs="Arial"/>
          <w:sz w:val="16"/>
          <w:szCs w:val="16"/>
        </w:rPr>
        <w:tab/>
      </w:r>
    </w:p>
    <w:p w14:paraId="6191A422" w14:textId="2B52970D" w:rsidR="0028546A" w:rsidRDefault="0028546A" w:rsidP="0028546A">
      <w:pPr>
        <w:tabs>
          <w:tab w:val="center" w:pos="5760"/>
        </w:tabs>
        <w:jc w:val="right"/>
        <w:rPr>
          <w:rFonts w:ascii="Arial" w:hAnsi="Arial" w:cs="Arial"/>
          <w:sz w:val="20"/>
          <w:szCs w:val="20"/>
        </w:rPr>
      </w:pPr>
    </w:p>
    <w:p w14:paraId="09D93D37" w14:textId="38A70867" w:rsidR="0028546A" w:rsidRPr="0028546A" w:rsidRDefault="0028546A" w:rsidP="0028546A">
      <w:pPr>
        <w:tabs>
          <w:tab w:val="center" w:pos="5760"/>
        </w:tabs>
        <w:jc w:val="right"/>
        <w:rPr>
          <w:rFonts w:ascii="Arial" w:hAnsi="Arial" w:cs="Arial"/>
          <w:sz w:val="20"/>
          <w:szCs w:val="20"/>
        </w:rPr>
      </w:pPr>
      <w:r w:rsidRPr="0028546A">
        <w:rPr>
          <w:rFonts w:ascii="Arial" w:hAnsi="Arial" w:cs="Arial"/>
          <w:sz w:val="20"/>
          <w:szCs w:val="20"/>
        </w:rPr>
        <w:t xml:space="preserve">Ουάσιγκτων, </w:t>
      </w:r>
      <w:r w:rsidR="00575F88" w:rsidRPr="00BB68E8">
        <w:rPr>
          <w:rFonts w:ascii="Arial" w:hAnsi="Arial" w:cs="Arial"/>
          <w:sz w:val="20"/>
          <w:szCs w:val="20"/>
        </w:rPr>
        <w:t>2</w:t>
      </w:r>
      <w:r w:rsidR="00EC4D3D">
        <w:rPr>
          <w:rFonts w:ascii="Arial" w:hAnsi="Arial" w:cs="Arial"/>
          <w:sz w:val="20"/>
          <w:szCs w:val="20"/>
        </w:rPr>
        <w:t>7</w:t>
      </w:r>
      <w:r w:rsidR="008B197A" w:rsidRPr="0074176D">
        <w:rPr>
          <w:rFonts w:ascii="Arial" w:hAnsi="Arial" w:cs="Arial"/>
          <w:sz w:val="20"/>
          <w:szCs w:val="20"/>
        </w:rPr>
        <w:t xml:space="preserve"> </w:t>
      </w:r>
      <w:r w:rsidR="0085709D">
        <w:rPr>
          <w:rFonts w:ascii="Arial" w:hAnsi="Arial" w:cs="Arial"/>
          <w:sz w:val="20"/>
          <w:szCs w:val="20"/>
        </w:rPr>
        <w:t>Φεβρουα</w:t>
      </w:r>
      <w:r w:rsidRPr="0028546A">
        <w:rPr>
          <w:rFonts w:ascii="Arial" w:hAnsi="Arial" w:cs="Arial"/>
          <w:sz w:val="20"/>
          <w:szCs w:val="20"/>
        </w:rPr>
        <w:t>ρίου 202</w:t>
      </w:r>
      <w:r w:rsidR="0085709D">
        <w:rPr>
          <w:rFonts w:ascii="Arial" w:hAnsi="Arial" w:cs="Arial"/>
          <w:sz w:val="20"/>
          <w:szCs w:val="20"/>
        </w:rPr>
        <w:t>6</w:t>
      </w:r>
    </w:p>
    <w:p w14:paraId="7865B464" w14:textId="77777777" w:rsidR="00902C28" w:rsidRDefault="00902C28" w:rsidP="00902C28">
      <w:pPr>
        <w:spacing w:after="240"/>
        <w:rPr>
          <w:b/>
        </w:rPr>
      </w:pPr>
    </w:p>
    <w:p w14:paraId="7FE6A3F6" w14:textId="138F380B" w:rsidR="006A51FC" w:rsidRPr="00D82F26" w:rsidRDefault="00EC4D3D" w:rsidP="00D82F26">
      <w:pPr>
        <w:spacing w:after="240"/>
        <w:jc w:val="center"/>
        <w:rPr>
          <w:b/>
        </w:rPr>
      </w:pPr>
      <w:r w:rsidRPr="00D82F26">
        <w:rPr>
          <w:b/>
        </w:rPr>
        <w:t xml:space="preserve">Συνέπειες απόφασης </w:t>
      </w:r>
      <w:proofErr w:type="spellStart"/>
      <w:r w:rsidRPr="00D82F26">
        <w:rPr>
          <w:b/>
        </w:rPr>
        <w:t>Ανωτάτου</w:t>
      </w:r>
      <w:proofErr w:type="spellEnd"/>
      <w:r w:rsidRPr="00D82F26">
        <w:rPr>
          <w:b/>
        </w:rPr>
        <w:t xml:space="preserve"> Δικαστηρίου ΗΠΑ για δασμούς</w:t>
      </w:r>
    </w:p>
    <w:p w14:paraId="082877F9" w14:textId="77777777" w:rsidR="00902C28" w:rsidRDefault="00902C28" w:rsidP="009B07B9">
      <w:pPr>
        <w:spacing w:after="120"/>
        <w:jc w:val="both"/>
      </w:pPr>
    </w:p>
    <w:p w14:paraId="7C423A13" w14:textId="46BAD274" w:rsidR="00EC4D3D" w:rsidRPr="009B07B9" w:rsidRDefault="009B07B9" w:rsidP="009B07B9">
      <w:pPr>
        <w:spacing w:after="120"/>
        <w:jc w:val="both"/>
      </w:pPr>
      <w:r w:rsidRPr="009B07B9">
        <w:t xml:space="preserve">Εν συνεχεία της Απόφασης του </w:t>
      </w:r>
      <w:proofErr w:type="spellStart"/>
      <w:r w:rsidRPr="009B07B9">
        <w:t>Ανωτάτου</w:t>
      </w:r>
      <w:proofErr w:type="spellEnd"/>
      <w:r w:rsidRPr="009B07B9">
        <w:t xml:space="preserve"> Δικαστηρίου των ΗΠΑ σχετικά με τους εισαγωγικούς δασμούς, παραθέτουμε τα </w:t>
      </w:r>
      <w:proofErr w:type="spellStart"/>
      <w:r w:rsidRPr="009B07B9">
        <w:t>κυριώτερα</w:t>
      </w:r>
      <w:proofErr w:type="spellEnd"/>
      <w:r w:rsidRPr="009B07B9">
        <w:t xml:space="preserve"> σημεία της, πεδίο εφαρμογής της καθώς και την νέα διαμορφούμενη κατάσταση.</w:t>
      </w:r>
    </w:p>
    <w:p w14:paraId="4A6704C2" w14:textId="21FC10BD" w:rsidR="00EC4D3D" w:rsidRPr="004C52A3" w:rsidRDefault="00EC4D3D" w:rsidP="004C52A3">
      <w:pPr>
        <w:spacing w:after="120"/>
        <w:rPr>
          <w:b/>
        </w:rPr>
      </w:pPr>
      <w:r w:rsidRPr="004C52A3">
        <w:rPr>
          <w:b/>
        </w:rPr>
        <w:t xml:space="preserve">Τι προβλέπει η απόφαση του </w:t>
      </w:r>
      <w:proofErr w:type="spellStart"/>
      <w:r w:rsidRPr="004C52A3">
        <w:rPr>
          <w:b/>
        </w:rPr>
        <w:t>Ανωτάτου</w:t>
      </w:r>
      <w:proofErr w:type="spellEnd"/>
      <w:r w:rsidRPr="004C52A3">
        <w:rPr>
          <w:b/>
        </w:rPr>
        <w:t xml:space="preserve"> Δικαστηρίου</w:t>
      </w:r>
    </w:p>
    <w:p w14:paraId="5E1AE425" w14:textId="52E81200" w:rsidR="00EC4D3D" w:rsidRDefault="00EC4D3D" w:rsidP="00D87A71">
      <w:pPr>
        <w:spacing w:after="120"/>
        <w:jc w:val="both"/>
      </w:pPr>
      <w:r w:rsidRPr="00EC4D3D">
        <w:t>Στις 2</w:t>
      </w:r>
      <w:r w:rsidR="00755C86">
        <w:t>0/2/</w:t>
      </w:r>
      <w:r w:rsidRPr="00EC4D3D">
        <w:t xml:space="preserve">2026, το Ανώτατο Δικαστήριο των ΗΠΑ αποφάνθηκε με ψήφους 6–3 στην υπόθεση </w:t>
      </w:r>
      <w:proofErr w:type="spellStart"/>
      <w:r w:rsidRPr="004C52A3">
        <w:t>Learning</w:t>
      </w:r>
      <w:proofErr w:type="spellEnd"/>
      <w:r w:rsidRPr="004C52A3">
        <w:t xml:space="preserve"> </w:t>
      </w:r>
      <w:proofErr w:type="spellStart"/>
      <w:r w:rsidRPr="004C52A3">
        <w:t>Resources</w:t>
      </w:r>
      <w:proofErr w:type="spellEnd"/>
      <w:r w:rsidRPr="004C52A3">
        <w:t xml:space="preserve">, Inc. v. </w:t>
      </w:r>
      <w:proofErr w:type="spellStart"/>
      <w:r w:rsidRPr="004C52A3">
        <w:t>Trump</w:t>
      </w:r>
      <w:proofErr w:type="spellEnd"/>
      <w:r w:rsidRPr="004C52A3">
        <w:t>, 607 U.S. (2026),</w:t>
      </w:r>
      <w:r w:rsidRPr="00EC4D3D">
        <w:t xml:space="preserve">ότι ο Πρόεδρος δεν έχει την εξουσία να επιβάλλει δασμούς </w:t>
      </w:r>
      <w:r>
        <w:t xml:space="preserve">χρησιμοποιώντας ως νομική βάση τον </w:t>
      </w:r>
      <w:r w:rsidRPr="00EC4D3D">
        <w:t>Διεθν</w:t>
      </w:r>
      <w:r>
        <w:t>ή</w:t>
      </w:r>
      <w:r w:rsidRPr="00EC4D3D">
        <w:t xml:space="preserve"> Νόμο περί Έκτακτης Ανάγκης Οικονομικών Εξουσιών (IEEPA).</w:t>
      </w:r>
    </w:p>
    <w:p w14:paraId="7145378B" w14:textId="2A7E51E0" w:rsidR="00EC4D3D" w:rsidRDefault="00EC4D3D" w:rsidP="00D87A71">
      <w:pPr>
        <w:spacing w:after="120"/>
        <w:jc w:val="both"/>
      </w:pPr>
      <w:r>
        <w:t xml:space="preserve">Ως γνωστόν, βάσει αυτού του νόμου, η αμερικανική κυβέρνηση κατά το προηγούμενο έτος, ανακοίνωνε κατά βούληση διαφορετικό ύψος δασμών ανά χώρα, που σε αρκετές περιπτώσεις άλλαζε σε σύντομο χρονικό διάστημα. Επίσης, με την απειλή της επιβολής δασμών, προχώρησε σε σύναψη εμπορικών συμφωνιών, στις οποίες με αντάλλαγμα την μείωση των δασμών, εξασφάλισε ανταλλάγματα είτε για την πρόσβαση των αμερικανικών προϊόντων στην συγκεκριμένη αγορά είτε για την εξασφάλιση </w:t>
      </w:r>
      <w:proofErr w:type="spellStart"/>
      <w:r>
        <w:t>σημαντιού</w:t>
      </w:r>
      <w:proofErr w:type="spellEnd"/>
      <w:r>
        <w:t xml:space="preserve"> ύψους αμέσων επενδύσεων στις ΗΠΑ</w:t>
      </w:r>
      <w:r w:rsidR="004C52A3">
        <w:t>.</w:t>
      </w:r>
    </w:p>
    <w:p w14:paraId="4B17B6A5" w14:textId="4A83E1F6" w:rsidR="004C52A3" w:rsidRPr="004C52A3" w:rsidRDefault="004C52A3" w:rsidP="00D87A71">
      <w:pPr>
        <w:spacing w:after="120"/>
        <w:jc w:val="both"/>
        <w:rPr>
          <w:b/>
        </w:rPr>
      </w:pPr>
      <w:r w:rsidRPr="004C52A3">
        <w:rPr>
          <w:b/>
        </w:rPr>
        <w:t>Βασικά σημεία δικαστικής απόφασης</w:t>
      </w:r>
    </w:p>
    <w:p w14:paraId="72E62A0E" w14:textId="68D970DA" w:rsidR="004C52A3" w:rsidRDefault="004C52A3" w:rsidP="00DD6657">
      <w:pPr>
        <w:jc w:val="both"/>
      </w:pPr>
      <w:r>
        <w:t>Το Δικαστήριο έκρινε ότι η εξουσιοδότηση του IEEPA να «ρυθμίζει... τις εισαγωγές» δεν περιλαμβάνει την εξουσία επιβολής δασμών ή δασμών, καθώς το Σύνταγμα αναθέτει την εξουσία φορολόγησης αποκλειστικά στο Κογκρέσο.</w:t>
      </w:r>
      <w:r w:rsidR="00D87A71">
        <w:t xml:space="preserve"> Ο Πρόεδρος του </w:t>
      </w:r>
      <w:proofErr w:type="spellStart"/>
      <w:r w:rsidR="00D87A71">
        <w:t>Ανωτάτου</w:t>
      </w:r>
      <w:proofErr w:type="spellEnd"/>
      <w:r w:rsidR="00D87A71">
        <w:t xml:space="preserve"> Δικαστηρίου </w:t>
      </w:r>
      <w:proofErr w:type="spellStart"/>
      <w:r w:rsidR="00D87A71">
        <w:t>John</w:t>
      </w:r>
      <w:proofErr w:type="spellEnd"/>
      <w:r w:rsidR="00D87A71">
        <w:t xml:space="preserve"> </w:t>
      </w:r>
      <w:proofErr w:type="spellStart"/>
      <w:r w:rsidR="00D87A71">
        <w:t>Roberts</w:t>
      </w:r>
      <w:proofErr w:type="spellEnd"/>
      <w:r w:rsidR="00D87A71">
        <w:t xml:space="preserve"> τόνισε ότι οποιαδήποτε προεδρική επιβολή δασμών απαιτεί ρητή ανάθεση εξουσίας από το Κογκρέσο, την οποία το IEEPA δεν παρέχει. Συνεπώς, </w:t>
      </w:r>
    </w:p>
    <w:p w14:paraId="2605F9E2" w14:textId="4E5022C0" w:rsidR="00D87A71" w:rsidRDefault="00D87A71" w:rsidP="00D87A71">
      <w:pPr>
        <w:ind w:left="180"/>
        <w:jc w:val="both"/>
      </w:pPr>
    </w:p>
    <w:p w14:paraId="125B6745" w14:textId="3C0C72F4" w:rsidR="004C52A3" w:rsidRPr="00DD6657" w:rsidRDefault="004C52A3" w:rsidP="00D87A71">
      <w:pPr>
        <w:spacing w:after="120"/>
        <w:jc w:val="both"/>
        <w:rPr>
          <w:b/>
        </w:rPr>
      </w:pPr>
      <w:r w:rsidRPr="004C52A3">
        <w:rPr>
          <w:b/>
        </w:rPr>
        <w:t>Πεδίο Εφαρμογής Απόφασης</w:t>
      </w:r>
      <w:r w:rsidR="00DD6657" w:rsidRPr="00DD6657">
        <w:rPr>
          <w:b/>
        </w:rPr>
        <w:t xml:space="preserve"> </w:t>
      </w:r>
      <w:proofErr w:type="spellStart"/>
      <w:r w:rsidR="00DD6657">
        <w:rPr>
          <w:b/>
        </w:rPr>
        <w:t>Ανωτάτου</w:t>
      </w:r>
      <w:proofErr w:type="spellEnd"/>
      <w:r w:rsidR="00DD6657">
        <w:rPr>
          <w:b/>
        </w:rPr>
        <w:t xml:space="preserve"> Δικαστηρίου</w:t>
      </w:r>
    </w:p>
    <w:p w14:paraId="42DEBE04" w14:textId="2F0771BA" w:rsidR="00D87A71" w:rsidRDefault="00D87A71" w:rsidP="00755C86">
      <w:pPr>
        <w:spacing w:after="120"/>
        <w:jc w:val="both"/>
      </w:pPr>
      <w:r>
        <w:t xml:space="preserve">Συνεπεία της απόφασης, ακυρώνονται οι «αμοιβαίοι» παγκόσμιοι βασικοί δασμοί, καθώς και συγκεκριμένοι δασμοί που σχετίζονται με την </w:t>
      </w:r>
      <w:proofErr w:type="spellStart"/>
      <w:r>
        <w:t>φαιντανόλη</w:t>
      </w:r>
      <w:proofErr w:type="spellEnd"/>
      <w:r>
        <w:t xml:space="preserve"> και οι οποίοι στόχευαν την Κίνα, το Μεξικό και τον Καναδά. Στην περίπτωση της ΕΕ, ο καταργηθείς αμοιβαίος δασμός ανερχόταν σε 15%.</w:t>
      </w:r>
    </w:p>
    <w:p w14:paraId="40F10D1B" w14:textId="77777777" w:rsidR="00D87A71" w:rsidRDefault="00D87A71" w:rsidP="00755C86">
      <w:pPr>
        <w:spacing w:after="120"/>
        <w:jc w:val="both"/>
      </w:pPr>
      <w:r>
        <w:t>Ωστόσο, δ</w:t>
      </w:r>
      <w:r w:rsidR="004C52A3">
        <w:t>εν επηρεάζ</w:t>
      </w:r>
      <w:r>
        <w:t>ονται</w:t>
      </w:r>
      <w:r w:rsidR="004C52A3">
        <w:t xml:space="preserve"> </w:t>
      </w:r>
      <w:r>
        <w:t xml:space="preserve">δασμοί </w:t>
      </w:r>
      <w:r w:rsidR="004C52A3">
        <w:t>που επιβάλλονται βάσει άλλων νόμων, όπως το Άρθρο 232 (εθνική ασφάλεια) ή το Άρθρο 301 (αθέμιτες εμπορικές πρακτικές).</w:t>
      </w:r>
      <w:r>
        <w:t xml:space="preserve"> </w:t>
      </w:r>
    </w:p>
    <w:p w14:paraId="65DF65D3" w14:textId="2BE0DB85" w:rsidR="00D55244" w:rsidRPr="00D55244" w:rsidRDefault="00D55244" w:rsidP="00755C86">
      <w:pPr>
        <w:tabs>
          <w:tab w:val="center" w:pos="5760"/>
        </w:tabs>
        <w:spacing w:after="60"/>
        <w:jc w:val="both"/>
        <w:rPr>
          <w:rFonts w:ascii="Arial" w:hAnsi="Arial" w:cs="Arial"/>
          <w:sz w:val="20"/>
          <w:szCs w:val="20"/>
        </w:rPr>
      </w:pPr>
      <w:r>
        <w:lastRenderedPageBreak/>
        <w:t xml:space="preserve">Βάσει του </w:t>
      </w:r>
      <w:r w:rsidRPr="00D55244">
        <w:rPr>
          <w:rFonts w:ascii="Arial" w:hAnsi="Arial" w:cs="Arial"/>
          <w:sz w:val="20"/>
          <w:szCs w:val="20"/>
        </w:rPr>
        <w:t>Άρθρο</w:t>
      </w:r>
      <w:r>
        <w:rPr>
          <w:rFonts w:ascii="Arial" w:hAnsi="Arial" w:cs="Arial"/>
          <w:sz w:val="20"/>
          <w:szCs w:val="20"/>
        </w:rPr>
        <w:t>υ</w:t>
      </w:r>
      <w:r w:rsidRPr="00D55244">
        <w:rPr>
          <w:rFonts w:ascii="Arial" w:hAnsi="Arial" w:cs="Arial"/>
          <w:sz w:val="20"/>
          <w:szCs w:val="20"/>
        </w:rPr>
        <w:t xml:space="preserve"> 232 του Νόμου περί Επέκτασης Εμπορίου του 1962</w:t>
      </w:r>
      <w:r>
        <w:rPr>
          <w:rFonts w:ascii="Arial" w:hAnsi="Arial" w:cs="Arial"/>
          <w:sz w:val="20"/>
          <w:szCs w:val="20"/>
        </w:rPr>
        <w:t xml:space="preserve">, </w:t>
      </w:r>
      <w:r w:rsidRPr="00755C86">
        <w:rPr>
          <w:rFonts w:ascii="Arial" w:hAnsi="Arial" w:cs="Arial"/>
          <w:sz w:val="20"/>
          <w:szCs w:val="20"/>
          <w:u w:val="single"/>
        </w:rPr>
        <w:t xml:space="preserve">παραμένουν σε ισχύ οι δασμοί </w:t>
      </w:r>
      <w:r w:rsidR="00755C86" w:rsidRPr="00755C86">
        <w:rPr>
          <w:rFonts w:ascii="Arial" w:hAnsi="Arial" w:cs="Arial"/>
          <w:sz w:val="20"/>
          <w:szCs w:val="20"/>
          <w:u w:val="single"/>
        </w:rPr>
        <w:t>ύψους 50%</w:t>
      </w:r>
      <w:r w:rsidR="00755C86">
        <w:rPr>
          <w:rFonts w:ascii="Arial" w:hAnsi="Arial" w:cs="Arial"/>
          <w:sz w:val="20"/>
          <w:szCs w:val="20"/>
        </w:rPr>
        <w:t xml:space="preserve"> </w:t>
      </w:r>
      <w:r>
        <w:rPr>
          <w:rFonts w:ascii="Arial" w:hAnsi="Arial" w:cs="Arial"/>
          <w:sz w:val="20"/>
          <w:szCs w:val="20"/>
        </w:rPr>
        <w:t>που έχουν επιβληθεί στις εξής κατηγορίες προϊόντων</w:t>
      </w:r>
      <w:r w:rsidRPr="00D55244">
        <w:rPr>
          <w:rFonts w:ascii="Arial" w:hAnsi="Arial" w:cs="Arial"/>
          <w:sz w:val="20"/>
          <w:szCs w:val="20"/>
        </w:rPr>
        <w:t>:</w:t>
      </w:r>
    </w:p>
    <w:p w14:paraId="16DE7774" w14:textId="6C9DC7FF" w:rsidR="00755C86" w:rsidRPr="00755C86" w:rsidRDefault="00755C86" w:rsidP="00755C86">
      <w:pPr>
        <w:tabs>
          <w:tab w:val="center" w:pos="5760"/>
        </w:tabs>
        <w:spacing w:after="60"/>
        <w:ind w:left="360" w:hanging="180"/>
        <w:jc w:val="both"/>
        <w:rPr>
          <w:sz w:val="22"/>
          <w:szCs w:val="22"/>
        </w:rPr>
      </w:pPr>
      <w:r w:rsidRPr="00755C86">
        <w:rPr>
          <w:sz w:val="22"/>
          <w:szCs w:val="22"/>
        </w:rPr>
        <w:t>• Χάλυβας: σε όλα τα εισαγόμενα προϊόντα χάλυβα, εκτός από αυτά από το Η.Β. τα οποία παραμένουν επιβαρύνονται με 25%</w:t>
      </w:r>
    </w:p>
    <w:p w14:paraId="6F996059" w14:textId="422A2BD4" w:rsidR="00755C86" w:rsidRPr="00755C86" w:rsidRDefault="00755C86" w:rsidP="00755C86">
      <w:pPr>
        <w:tabs>
          <w:tab w:val="center" w:pos="5760"/>
        </w:tabs>
        <w:spacing w:after="60"/>
        <w:ind w:left="360" w:hanging="180"/>
        <w:jc w:val="both"/>
        <w:rPr>
          <w:sz w:val="22"/>
          <w:szCs w:val="22"/>
        </w:rPr>
      </w:pPr>
      <w:r w:rsidRPr="00755C86">
        <w:rPr>
          <w:sz w:val="22"/>
          <w:szCs w:val="22"/>
        </w:rPr>
        <w:t xml:space="preserve">• </w:t>
      </w:r>
      <w:r w:rsidRPr="00755C86">
        <w:rPr>
          <w:sz w:val="22"/>
          <w:szCs w:val="22"/>
        </w:rPr>
        <w:tab/>
        <w:t>Αλουμίνιο: για όλες τις χώρες εκτός από το Η.Β</w:t>
      </w:r>
    </w:p>
    <w:p w14:paraId="6A1233E9" w14:textId="66E02A39" w:rsidR="00755C86" w:rsidRPr="00755C86" w:rsidRDefault="00755C86" w:rsidP="00755C86">
      <w:pPr>
        <w:tabs>
          <w:tab w:val="center" w:pos="5760"/>
        </w:tabs>
        <w:spacing w:after="60"/>
        <w:ind w:left="360" w:hanging="180"/>
        <w:jc w:val="both"/>
        <w:rPr>
          <w:sz w:val="22"/>
          <w:szCs w:val="22"/>
        </w:rPr>
      </w:pPr>
      <w:r w:rsidRPr="00755C86">
        <w:rPr>
          <w:sz w:val="22"/>
          <w:szCs w:val="22"/>
        </w:rPr>
        <w:t xml:space="preserve">• </w:t>
      </w:r>
      <w:r w:rsidRPr="00755C86">
        <w:rPr>
          <w:sz w:val="22"/>
          <w:szCs w:val="22"/>
        </w:rPr>
        <w:tab/>
        <w:t>Χαλκός: καλύπτει τα ημιτελή προϊόντα χαλκού και ορισμένα παράγωγα χαλκού. Εξαιρείται ο ακατέργαστος χαλκός και οι κάθοδοι χαλκού.</w:t>
      </w:r>
    </w:p>
    <w:p w14:paraId="10CDFEAE" w14:textId="29BA8237" w:rsidR="00755C86" w:rsidRDefault="00755C86" w:rsidP="00755C86">
      <w:pPr>
        <w:tabs>
          <w:tab w:val="center" w:pos="5760"/>
        </w:tabs>
        <w:spacing w:after="60"/>
        <w:ind w:left="374" w:hanging="187"/>
        <w:jc w:val="both"/>
        <w:rPr>
          <w:sz w:val="22"/>
          <w:szCs w:val="22"/>
        </w:rPr>
      </w:pPr>
      <w:r w:rsidRPr="00755C86">
        <w:rPr>
          <w:sz w:val="22"/>
          <w:szCs w:val="22"/>
        </w:rPr>
        <w:t>•</w:t>
      </w:r>
      <w:r w:rsidRPr="00755C86">
        <w:rPr>
          <w:sz w:val="22"/>
          <w:szCs w:val="22"/>
        </w:rPr>
        <w:tab/>
        <w:t>Είδη οικιακής χρήσης: Καλύπτονται συγκεκριμένες κατηγορίες επίπλων, συμπεριλαμβανομένων των ντουλαπιών και των νιπτήρων κουζίνας και μπάνιου</w:t>
      </w:r>
    </w:p>
    <w:p w14:paraId="0B6E5A94" w14:textId="2D011C42" w:rsidR="00D55244" w:rsidRPr="00755C86" w:rsidRDefault="00755C86" w:rsidP="00755C86">
      <w:pPr>
        <w:pStyle w:val="ListParagraph"/>
        <w:numPr>
          <w:ilvl w:val="0"/>
          <w:numId w:val="21"/>
        </w:numPr>
        <w:tabs>
          <w:tab w:val="center" w:pos="5760"/>
        </w:tabs>
        <w:spacing w:after="240"/>
        <w:ind w:left="374" w:hanging="187"/>
        <w:contextualSpacing w:val="0"/>
        <w:jc w:val="both"/>
        <w:rPr>
          <w:sz w:val="22"/>
          <w:szCs w:val="22"/>
          <w:lang w:val="en-US"/>
        </w:rPr>
      </w:pPr>
      <w:r w:rsidRPr="00755C86">
        <w:rPr>
          <w:sz w:val="22"/>
          <w:szCs w:val="22"/>
        </w:rPr>
        <w:t>Οχήματα</w:t>
      </w:r>
      <w:r w:rsidRPr="00755C86">
        <w:rPr>
          <w:sz w:val="22"/>
          <w:szCs w:val="22"/>
          <w:lang w:val="en-US"/>
        </w:rPr>
        <w:t xml:space="preserve">: </w:t>
      </w:r>
      <w:r w:rsidRPr="00755C86">
        <w:rPr>
          <w:sz w:val="22"/>
          <w:szCs w:val="22"/>
        </w:rPr>
        <w:t>ισχύει εισαγωγικός δασμός 25%</w:t>
      </w:r>
    </w:p>
    <w:p w14:paraId="26F577D1" w14:textId="65F1B2AF" w:rsidR="00EC4D3D" w:rsidRDefault="00EC4D3D" w:rsidP="00D87A71">
      <w:pPr>
        <w:spacing w:after="120"/>
        <w:jc w:val="both"/>
        <w:rPr>
          <w:b/>
        </w:rPr>
      </w:pPr>
      <w:r w:rsidRPr="004C52A3">
        <w:rPr>
          <w:b/>
        </w:rPr>
        <w:t>Ανακοίνωση Προέδρου Τραμπ</w:t>
      </w:r>
    </w:p>
    <w:p w14:paraId="2CF7C27D" w14:textId="5496EA01" w:rsidR="00DD6657" w:rsidRPr="00DD6657" w:rsidRDefault="00DD6657" w:rsidP="00DD6657">
      <w:pPr>
        <w:spacing w:after="240"/>
        <w:jc w:val="both"/>
      </w:pPr>
      <w:r>
        <w:t xml:space="preserve">Αυθημερόν (20/2) με την έκδοση της απόφασης, </w:t>
      </w:r>
      <w:r w:rsidRPr="00DD6657">
        <w:t xml:space="preserve">ο Πρόεδρος Τραμπ </w:t>
      </w:r>
      <w:proofErr w:type="spellStart"/>
      <w:r w:rsidRPr="00DD6657">
        <w:t>επικαλέσθηκε</w:t>
      </w:r>
      <w:proofErr w:type="spellEnd"/>
      <w:r w:rsidRPr="00DD6657">
        <w:t xml:space="preserve"> το Άρθρο 122 του Εμπορικού Νόμου του 1974, προκειμένου να επιβάλει έναν νέο καθολικό εισαγωγικό δασμό. Αρχικά τον προσδιόρισε σε 10% αλλά το επόμενο πρωινό τον αύξησε στο νόμιμο μέγιστο 15%. Αναγνώρισε ότι αυτή η νέα εξουσία είναι προσωρινή, καθώς διαρκεί έως 150 ημέρες και εν συνεχεία, για την παράτασή του απαιτείται απόφαση του Κογκρέσου.</w:t>
      </w:r>
    </w:p>
    <w:p w14:paraId="158AC695" w14:textId="77777777" w:rsidR="00DD6657" w:rsidRPr="004C52A3" w:rsidRDefault="00DD6657" w:rsidP="00DD6657">
      <w:pPr>
        <w:spacing w:after="120"/>
        <w:jc w:val="both"/>
        <w:rPr>
          <w:b/>
        </w:rPr>
      </w:pPr>
      <w:r w:rsidRPr="004C52A3">
        <w:rPr>
          <w:b/>
        </w:rPr>
        <w:t>Τι ισχύει</w:t>
      </w:r>
    </w:p>
    <w:p w14:paraId="657C9091" w14:textId="2B8D6501" w:rsidR="00DD6657" w:rsidRPr="00E818C6" w:rsidRDefault="00DD6657" w:rsidP="00DD6657">
      <w:pPr>
        <w:tabs>
          <w:tab w:val="center" w:pos="5760"/>
        </w:tabs>
        <w:spacing w:after="120"/>
        <w:jc w:val="both"/>
      </w:pPr>
      <w:r w:rsidRPr="00DD6657">
        <w:t xml:space="preserve">Εισαγωγικός δασμός 10%, και όχι 15%, ισχύει από τις 24/2/2026. </w:t>
      </w:r>
      <w:r>
        <w:t>Θ</w:t>
      </w:r>
      <w:r w:rsidRPr="00DD6657">
        <w:t>α λήξει σε 150 ημέρες (περίπου στα τέλη Ιουλίου 2026) εκτός εάν παραταθεί από το Κογκρέσο.</w:t>
      </w:r>
      <w:r>
        <w:t xml:space="preserve"> Ο δασμός ισχύει οριζόντια για όλες τις χώρες, συμπεριλαμβανομένης της Ελλάδας και των λοιπών κρατών – μελών της ΕΕ.</w:t>
      </w:r>
      <w:r w:rsidR="00E818C6" w:rsidRPr="00E818C6">
        <w:t xml:space="preserve"> </w:t>
      </w:r>
      <w:r w:rsidR="00E818C6">
        <w:t>Ωστόσο, η αμερικανική διοίκηση μπορεί ανά πάσα στιγμή να αυξήσει τον δασμό σε 15%.</w:t>
      </w:r>
    </w:p>
    <w:p w14:paraId="44EA56F7" w14:textId="77777777" w:rsidR="00DD6657" w:rsidRDefault="00DD6657" w:rsidP="00E818C6">
      <w:pPr>
        <w:tabs>
          <w:tab w:val="center" w:pos="5760"/>
        </w:tabs>
        <w:spacing w:after="60"/>
        <w:jc w:val="both"/>
      </w:pPr>
      <w:r w:rsidRPr="00DD6657">
        <w:t xml:space="preserve">Εξαιρέσεις: </w:t>
      </w:r>
    </w:p>
    <w:p w14:paraId="4CBE54D7" w14:textId="61413546" w:rsidR="00DD6657" w:rsidRDefault="008706FA" w:rsidP="00E818C6">
      <w:pPr>
        <w:pStyle w:val="ListParagraph"/>
        <w:numPr>
          <w:ilvl w:val="0"/>
          <w:numId w:val="22"/>
        </w:numPr>
        <w:tabs>
          <w:tab w:val="center" w:pos="5760"/>
        </w:tabs>
        <w:spacing w:after="60"/>
        <w:ind w:left="360"/>
        <w:contextualSpacing w:val="0"/>
        <w:jc w:val="both"/>
      </w:pPr>
      <w:r>
        <w:t xml:space="preserve">Είναι άγνωστό κατά πόσον </w:t>
      </w:r>
      <w:r w:rsidR="004E209B">
        <w:t xml:space="preserve">θα διατηρηθούν οι εξαιρέσεις που είχαν γίνει για συγκεκριμένα </w:t>
      </w:r>
      <w:r>
        <w:t>προϊόντα</w:t>
      </w:r>
      <w:r w:rsidR="004E209B">
        <w:t xml:space="preserve">, και συνεπεία τους αυτά </w:t>
      </w:r>
      <w:r>
        <w:t>είχαν μηδενικό δασμό, όπως</w:t>
      </w:r>
      <w:r w:rsidR="00DD6657" w:rsidRPr="00DD6657">
        <w:t xml:space="preserve"> </w:t>
      </w:r>
      <w:r w:rsidR="004E209B">
        <w:t xml:space="preserve">ακτινίδια, </w:t>
      </w:r>
      <w:r w:rsidR="00DD6657" w:rsidRPr="00DD6657">
        <w:t xml:space="preserve">ορισμένα κρίσιμα ορυκτά, φαρμακευτικά προϊόντα, ορισμένα ηλεκτρονικά είδη </w:t>
      </w:r>
      <w:r w:rsidR="004E209B">
        <w:t>κλπ.</w:t>
      </w:r>
      <w:r w:rsidR="00E818C6">
        <w:t xml:space="preserve"> </w:t>
      </w:r>
    </w:p>
    <w:p w14:paraId="1697B9EA" w14:textId="18E9AF22" w:rsidR="00E818C6" w:rsidRDefault="00E818C6" w:rsidP="00E818C6">
      <w:pPr>
        <w:pStyle w:val="ListParagraph"/>
        <w:numPr>
          <w:ilvl w:val="0"/>
          <w:numId w:val="22"/>
        </w:numPr>
        <w:tabs>
          <w:tab w:val="center" w:pos="5760"/>
        </w:tabs>
        <w:spacing w:after="60"/>
        <w:ind w:left="360"/>
        <w:contextualSpacing w:val="0"/>
        <w:jc w:val="both"/>
      </w:pPr>
      <w:r>
        <w:t>Συγκεκριμένες χώρες προστατεύονται είτε εν μέρει είτε πλήρως, μέσω υφιστάμενων εμπορικών συμφωνιών ή εξειδικευμένων εξαιρέσεων.</w:t>
      </w:r>
    </w:p>
    <w:p w14:paraId="41504960" w14:textId="77777777" w:rsidR="00E818C6" w:rsidRDefault="00E818C6" w:rsidP="00E818C6">
      <w:pPr>
        <w:pStyle w:val="ListParagraph"/>
        <w:tabs>
          <w:tab w:val="center" w:pos="5760"/>
        </w:tabs>
        <w:spacing w:after="60"/>
        <w:ind w:left="360"/>
        <w:contextualSpacing w:val="0"/>
        <w:jc w:val="both"/>
      </w:pPr>
      <w:r>
        <w:t>Καναδάς &amp; Μεξικό: Τα προϊόντα που συμμορφώνονται με την USMCA εξαιρούνται από εισαγωγικό δασμό</w:t>
      </w:r>
    </w:p>
    <w:p w14:paraId="0FC49E5C" w14:textId="62406EF2" w:rsidR="00E818C6" w:rsidRDefault="00E818C6" w:rsidP="00E818C6">
      <w:pPr>
        <w:pStyle w:val="ListParagraph"/>
        <w:tabs>
          <w:tab w:val="center" w:pos="5760"/>
        </w:tabs>
        <w:spacing w:after="120"/>
        <w:ind w:left="360"/>
        <w:contextualSpacing w:val="0"/>
        <w:jc w:val="both"/>
      </w:pPr>
      <w:r>
        <w:t>Μέλη CAFTA-DR: Κλωστοϋφαντουργικά προϊόντα και είδη ένδυσης από Κόστα Ρίκα, Δομινικανή Δημοκρατία, Ελ Σαλβαδόρ, Γουατεμάλα, Ονδούρα και Νικαράγουα εξαιρούνται.</w:t>
      </w:r>
    </w:p>
    <w:p w14:paraId="3BDEE5A7" w14:textId="70C65B95" w:rsidR="001727BB" w:rsidRDefault="001727BB" w:rsidP="001727BB">
      <w:pPr>
        <w:spacing w:after="120"/>
        <w:jc w:val="both"/>
        <w:rPr>
          <w:b/>
        </w:rPr>
      </w:pPr>
      <w:r>
        <w:rPr>
          <w:b/>
        </w:rPr>
        <w:t>Πώς υπολογίζεται ο δασμός 10%</w:t>
      </w:r>
    </w:p>
    <w:p w14:paraId="573D7BF2" w14:textId="7070A68D" w:rsidR="001727BB" w:rsidRPr="001727BB" w:rsidRDefault="001727BB" w:rsidP="001727BB">
      <w:pPr>
        <w:tabs>
          <w:tab w:val="center" w:pos="5760"/>
        </w:tabs>
        <w:spacing w:after="60"/>
        <w:jc w:val="both"/>
      </w:pPr>
      <w:r w:rsidRPr="001727BB">
        <w:t xml:space="preserve">Ο δασμός 10% υπολογίζεται επί της αξίας του τιμολογίου και </w:t>
      </w:r>
      <w:r>
        <w:t xml:space="preserve">είναι </w:t>
      </w:r>
      <w:r w:rsidRPr="001727BB">
        <w:rPr>
          <w:u w:val="single"/>
        </w:rPr>
        <w:t>πρόσθετος</w:t>
      </w:r>
      <w:r>
        <w:t xml:space="preserve">, άρα </w:t>
      </w:r>
      <w:r w:rsidRPr="001727BB">
        <w:t xml:space="preserve">προστίθεται στον </w:t>
      </w:r>
      <w:r>
        <w:t xml:space="preserve">δασμό που προβλέπεται από την Ρήτρα Πλέον Ευνοουμένου Κράτους - </w:t>
      </w:r>
      <w:r>
        <w:rPr>
          <w:lang w:val="en-US"/>
        </w:rPr>
        <w:t>MFN</w:t>
      </w:r>
      <w:r w:rsidRPr="001727BB">
        <w:t xml:space="preserve">. </w:t>
      </w:r>
      <w:r>
        <w:t>Επί παραδείγματι, ε</w:t>
      </w:r>
      <w:r w:rsidRPr="001727BB">
        <w:t xml:space="preserve">άν ένα προϊόν έχει δασμό  </w:t>
      </w:r>
      <w:r>
        <w:rPr>
          <w:lang w:val="en-US"/>
        </w:rPr>
        <w:t>MFN</w:t>
      </w:r>
      <w:r w:rsidRPr="001727BB">
        <w:t xml:space="preserve"> 3%, </w:t>
      </w:r>
      <w:r>
        <w:t xml:space="preserve">τότε </w:t>
      </w:r>
      <w:r w:rsidRPr="001727BB">
        <w:t>ο συνολικός εφαρμοζόμενος συντελεστής γίνεται 13%.</w:t>
      </w:r>
    </w:p>
    <w:p w14:paraId="6D38F2B2" w14:textId="41889579" w:rsidR="001727BB" w:rsidRDefault="001727BB" w:rsidP="001727BB">
      <w:pPr>
        <w:tabs>
          <w:tab w:val="center" w:pos="5760"/>
        </w:tabs>
        <w:spacing w:after="60"/>
        <w:jc w:val="both"/>
      </w:pPr>
      <w:r>
        <w:lastRenderedPageBreak/>
        <w:t>Εκτιμάται ότι σ</w:t>
      </w:r>
      <w:r w:rsidRPr="001727BB">
        <w:t xml:space="preserve">ύμφωνα με τις ισχύουσες τελωνειακές οδηγίες (CSMS), εάν ο δασμός </w:t>
      </w:r>
      <w:r>
        <w:rPr>
          <w:lang w:val="en-US"/>
        </w:rPr>
        <w:t>MFN</w:t>
      </w:r>
      <w:r w:rsidRPr="001727BB">
        <w:t xml:space="preserve"> είναι ήδη 15% ή υψηλότερος, δεν εφαρμόζεται πρόσθετη επιβάρυνση. Ο </w:t>
      </w:r>
      <w:proofErr w:type="spellStart"/>
      <w:r w:rsidRPr="001727BB">
        <w:t>προϋπάρχων</w:t>
      </w:r>
      <w:proofErr w:type="spellEnd"/>
      <w:r w:rsidRPr="001727BB">
        <w:t xml:space="preserve"> συντελεστής </w:t>
      </w:r>
      <w:r>
        <w:rPr>
          <w:lang w:val="en-US"/>
        </w:rPr>
        <w:t>MFN</w:t>
      </w:r>
      <w:r w:rsidRPr="001727BB">
        <w:t xml:space="preserve"> παραμένει ο συνολικός δασμός.</w:t>
      </w:r>
    </w:p>
    <w:p w14:paraId="5CED310C" w14:textId="2A109E79" w:rsidR="001727BB" w:rsidRDefault="001727BB" w:rsidP="00B214AF">
      <w:pPr>
        <w:tabs>
          <w:tab w:val="center" w:pos="5760"/>
        </w:tabs>
        <w:spacing w:after="240"/>
        <w:jc w:val="both"/>
      </w:pPr>
      <w:r>
        <w:t xml:space="preserve">Για την εφαρμογή του πρόσθετου δασμού 10% έχει δημοσιευθεί η τελωνειακή οδηγία </w:t>
      </w:r>
      <w:hyperlink r:id="rId9" w:history="1">
        <w:r w:rsidR="005B741D" w:rsidRPr="000F290C">
          <w:rPr>
            <w:rStyle w:val="Hyperlink"/>
          </w:rPr>
          <w:t xml:space="preserve">«CSMS # 67844987 - </w:t>
        </w:r>
        <w:proofErr w:type="spellStart"/>
        <w:r w:rsidR="005B741D" w:rsidRPr="000F290C">
          <w:rPr>
            <w:rStyle w:val="Hyperlink"/>
          </w:rPr>
          <w:t>Imposing</w:t>
        </w:r>
        <w:proofErr w:type="spellEnd"/>
        <w:r w:rsidR="005B741D" w:rsidRPr="000F290C">
          <w:rPr>
            <w:rStyle w:val="Hyperlink"/>
          </w:rPr>
          <w:t xml:space="preserve"> Temporary </w:t>
        </w:r>
        <w:proofErr w:type="spellStart"/>
        <w:r w:rsidR="005B741D" w:rsidRPr="000F290C">
          <w:rPr>
            <w:rStyle w:val="Hyperlink"/>
          </w:rPr>
          <w:t>Section</w:t>
        </w:r>
        <w:proofErr w:type="spellEnd"/>
        <w:r w:rsidR="005B741D" w:rsidRPr="000F290C">
          <w:rPr>
            <w:rStyle w:val="Hyperlink"/>
          </w:rPr>
          <w:t xml:space="preserve"> 122 </w:t>
        </w:r>
        <w:proofErr w:type="spellStart"/>
        <w:r w:rsidR="005B741D" w:rsidRPr="000F290C">
          <w:rPr>
            <w:rStyle w:val="Hyperlink"/>
          </w:rPr>
          <w:t>Duties</w:t>
        </w:r>
        <w:proofErr w:type="spellEnd"/>
        <w:r w:rsidR="005B741D" w:rsidRPr="000F290C">
          <w:rPr>
            <w:rStyle w:val="Hyperlink"/>
          </w:rPr>
          <w:t>»</w:t>
        </w:r>
        <w:r w:rsidR="000F290C" w:rsidRPr="000F290C">
          <w:rPr>
            <w:rStyle w:val="Hyperlink"/>
          </w:rPr>
          <w:t>.</w:t>
        </w:r>
      </w:hyperlink>
    </w:p>
    <w:p w14:paraId="0C6B0CD8" w14:textId="77777777" w:rsidR="00B214AF" w:rsidRPr="004C52A3" w:rsidRDefault="00B214AF" w:rsidP="00B214AF">
      <w:pPr>
        <w:spacing w:after="120"/>
        <w:rPr>
          <w:b/>
        </w:rPr>
      </w:pPr>
      <w:r w:rsidRPr="004C52A3">
        <w:rPr>
          <w:b/>
        </w:rPr>
        <w:t>Επιστροφή πληρωμών για δασμούς</w:t>
      </w:r>
    </w:p>
    <w:p w14:paraId="712CB685" w14:textId="63ED1117" w:rsidR="00B214AF" w:rsidRDefault="00B214AF" w:rsidP="000F290C">
      <w:pPr>
        <w:spacing w:after="120"/>
        <w:jc w:val="both"/>
      </w:pPr>
      <w:r>
        <w:t xml:space="preserve">Συνεπεία της απόφασης του </w:t>
      </w:r>
      <w:proofErr w:type="spellStart"/>
      <w:r>
        <w:t>Ανωτάτου</w:t>
      </w:r>
      <w:proofErr w:type="spellEnd"/>
      <w:r>
        <w:t xml:space="preserve"> Δικαστηρίου, οι εταιρείες δικαιούνται σε επιστροφή των ποσών που κατέβαλαν, βάσει του </w:t>
      </w:r>
      <w:r w:rsidRPr="00EC4D3D">
        <w:t>IEEPA</w:t>
      </w:r>
      <w:r>
        <w:t>, για την εισαγωγή προϊόντων τους στις ΗΠΑ έως 24/2</w:t>
      </w:r>
      <w:r w:rsidR="00CA4DD5">
        <w:t xml:space="preserve">, δεν καθορίσθηκε όμως πώς θα γίνει η επιστροφή. </w:t>
      </w:r>
      <w:r w:rsidR="004E0CD9">
        <w:t xml:space="preserve">Εκτιμάται ότι το αμερικανικό δημόσιο έχει εισπράξει </w:t>
      </w:r>
      <w:r w:rsidR="009B07B9">
        <w:t>τουλάχιστον</w:t>
      </w:r>
      <w:r w:rsidR="004E0CD9">
        <w:t xml:space="preserve"> $160 δισ. από δασμούς αυτής της κατηγορίας.</w:t>
      </w:r>
    </w:p>
    <w:p w14:paraId="65CB1C6C" w14:textId="6B1A2128" w:rsidR="00B214AF" w:rsidRDefault="00B214AF" w:rsidP="000F290C">
      <w:pPr>
        <w:spacing w:after="120"/>
        <w:jc w:val="both"/>
      </w:pPr>
      <w:r>
        <w:t>Ωστόσο, η</w:t>
      </w:r>
      <w:r w:rsidRPr="00B214AF">
        <w:t xml:space="preserve"> αμερικανική κυβέρνηση σαφώς </w:t>
      </w:r>
      <w:r>
        <w:t xml:space="preserve">δεν προτίθεται να δημιουργήσει μηχανισμό αυτόματης επιστροφής των ποσών αυτών. Αντιθέτως, έχει δηλώσει ότι η διαδικασία επιστροφής θα είναι μακρά και μόνον μετά από απόφαση είτε του </w:t>
      </w:r>
      <w:r w:rsidR="004E0CD9">
        <w:t>Διεθνούς Εμπορικού Δικαστηρίου</w:t>
      </w:r>
      <w:r>
        <w:t xml:space="preserve"> είτε των κατώτερων δικαστηρίων</w:t>
      </w:r>
      <w:r w:rsidR="004E0CD9">
        <w:t xml:space="preserve">, μετά </w:t>
      </w:r>
      <w:r>
        <w:t xml:space="preserve">κατάθεση σχετικής αγωγής. Πολλές μεγάλες εταιρείες που είχαν απαιτήσεις εκατομμυρίων δολλαρίων </w:t>
      </w:r>
      <w:r w:rsidR="004E0CD9">
        <w:t xml:space="preserve">έχουν ήδη καταθέσει τέτοιες αγωγές, προεξοφλώντας την απόφαση του </w:t>
      </w:r>
      <w:proofErr w:type="spellStart"/>
      <w:r w:rsidR="004E0CD9">
        <w:t>Ανωτάτου</w:t>
      </w:r>
      <w:proofErr w:type="spellEnd"/>
      <w:r w:rsidR="004E0CD9">
        <w:t xml:space="preserve"> Δικαστηρίου και θέλοντας να κατοχυρώσουν τις απαιτήσεις τους.</w:t>
      </w:r>
    </w:p>
    <w:p w14:paraId="002294E7" w14:textId="4A9BCD68" w:rsidR="004E0CD9" w:rsidRDefault="004E0CD9" w:rsidP="000F290C">
      <w:pPr>
        <w:spacing w:after="120"/>
        <w:jc w:val="both"/>
      </w:pPr>
      <w:r>
        <w:t>Εκτιμούμε ότι για πολλές εταιρείες, μικρού και μεσαίου μεγέθους, το κόστος της νομικής διεκδίκησης θα είναι απαγορευτικό. Αγωγές μπορούν να καταθέσουν μόνο οι εταιρείες εισαγωγής που κατέβαλαν τους δασμούς και όχι οι εταιρείες εξαγωγής.</w:t>
      </w:r>
    </w:p>
    <w:p w14:paraId="1A2E163E" w14:textId="644DEB21" w:rsidR="004E0CD9" w:rsidRPr="00D82F26" w:rsidRDefault="004E0CD9" w:rsidP="00CA4DD5">
      <w:pPr>
        <w:spacing w:after="240"/>
        <w:jc w:val="both"/>
      </w:pPr>
      <w:r>
        <w:t>Όπως</w:t>
      </w:r>
      <w:r w:rsidRPr="004E0CD9">
        <w:t xml:space="preserve"> </w:t>
      </w:r>
      <w:r>
        <w:t xml:space="preserve">είθισται στην αμερικανική αγορά για κάθε είδους απαιτήσεων, αυξάνεται γοργά ο αριθμός των επενδυτικών εταιρειών που αγοράζουν απαιτήσεις από δασμούς σε τιμή 20 έως 40 σεντς για απαίτηση ενός </w:t>
      </w:r>
      <w:proofErr w:type="spellStart"/>
      <w:r>
        <w:t>δολλαρίου</w:t>
      </w:r>
      <w:proofErr w:type="spellEnd"/>
      <w:r>
        <w:t>. Ωστόσο</w:t>
      </w:r>
      <w:r w:rsidRPr="004E0CD9">
        <w:t xml:space="preserve">, </w:t>
      </w:r>
      <w:r>
        <w:t>συνήθως</w:t>
      </w:r>
      <w:r w:rsidRPr="004E0CD9">
        <w:t xml:space="preserve">, </w:t>
      </w:r>
      <w:r>
        <w:t>πρέπει</w:t>
      </w:r>
      <w:r w:rsidRPr="004E0CD9">
        <w:t xml:space="preserve"> </w:t>
      </w:r>
      <w:r>
        <w:t>οι</w:t>
      </w:r>
      <w:r w:rsidRPr="004E0CD9">
        <w:t xml:space="preserve"> </w:t>
      </w:r>
      <w:r>
        <w:t>απαιτήσεις μίας εταιρείας να είναι άνω των $10</w:t>
      </w:r>
      <w:r>
        <w:rPr>
          <w:vertAlign w:val="superscript"/>
        </w:rPr>
        <w:t xml:space="preserve"> </w:t>
      </w:r>
      <w:r>
        <w:t>εκ.  Επομένως</w:t>
      </w:r>
      <w:r w:rsidRPr="00D82F26">
        <w:t xml:space="preserve">, </w:t>
      </w:r>
      <w:r>
        <w:t>για</w:t>
      </w:r>
      <w:r w:rsidRPr="00D82F26">
        <w:t xml:space="preserve"> </w:t>
      </w:r>
      <w:r>
        <w:t>μικρότερες</w:t>
      </w:r>
      <w:r w:rsidRPr="00D82F26">
        <w:t xml:space="preserve"> </w:t>
      </w:r>
      <w:r>
        <w:t>απαιτήσεις</w:t>
      </w:r>
      <w:r w:rsidRPr="00D82F26">
        <w:t xml:space="preserve">, </w:t>
      </w:r>
      <w:r>
        <w:t>απομένει</w:t>
      </w:r>
      <w:r w:rsidRPr="00D82F26">
        <w:t xml:space="preserve"> </w:t>
      </w:r>
      <w:r>
        <w:t>μόνο</w:t>
      </w:r>
      <w:r w:rsidRPr="00D82F26">
        <w:t xml:space="preserve"> </w:t>
      </w:r>
      <w:r>
        <w:t>η</w:t>
      </w:r>
      <w:r w:rsidRPr="00D82F26">
        <w:t xml:space="preserve"> </w:t>
      </w:r>
      <w:r>
        <w:t>δικαστική</w:t>
      </w:r>
      <w:r w:rsidRPr="00D82F26">
        <w:t xml:space="preserve"> </w:t>
      </w:r>
      <w:r>
        <w:t>διεκδίκηση</w:t>
      </w:r>
      <w:r w:rsidRPr="00D82F26">
        <w:t>.</w:t>
      </w:r>
    </w:p>
    <w:p w14:paraId="5EC805D5" w14:textId="5BBAE315" w:rsidR="000F290C" w:rsidRPr="00CA4DD5" w:rsidRDefault="000F290C" w:rsidP="000F290C">
      <w:pPr>
        <w:spacing w:after="120"/>
        <w:jc w:val="both"/>
        <w:rPr>
          <w:b/>
        </w:rPr>
      </w:pPr>
      <w:r w:rsidRPr="000F290C">
        <w:rPr>
          <w:b/>
        </w:rPr>
        <w:t>Συνέπειες για τα ελληνικά προϊόντα</w:t>
      </w:r>
      <w:bookmarkStart w:id="2" w:name="_GoBack"/>
      <w:bookmarkEnd w:id="2"/>
    </w:p>
    <w:p w14:paraId="28447256" w14:textId="799A5049" w:rsidR="000F290C" w:rsidRDefault="000F290C" w:rsidP="000F290C">
      <w:pPr>
        <w:spacing w:after="120"/>
        <w:jc w:val="both"/>
      </w:pPr>
      <w:r w:rsidRPr="000F290C">
        <w:t xml:space="preserve">Για </w:t>
      </w:r>
      <w:r>
        <w:t xml:space="preserve">προϊόντα προέλευσης ΕΕ, ο ανταποδοτικός δασμός έως τις 24/2 ανερχόταν σε 15%, ανεξαρτήτως ύψους του δασμού </w:t>
      </w:r>
      <w:r>
        <w:rPr>
          <w:lang w:val="en-US"/>
        </w:rPr>
        <w:t>MFN</w:t>
      </w:r>
      <w:r>
        <w:t>, γιατί ήταν αυτοτελής και όχι πρόσθετος.</w:t>
      </w:r>
    </w:p>
    <w:p w14:paraId="4B593FE9" w14:textId="5B24F544" w:rsidR="000F290C" w:rsidRDefault="000F290C" w:rsidP="000F290C">
      <w:pPr>
        <w:spacing w:after="120"/>
        <w:jc w:val="both"/>
      </w:pPr>
      <w:r>
        <w:t xml:space="preserve">Από 24/2, </w:t>
      </w:r>
      <w:r w:rsidRPr="009B07B9">
        <w:rPr>
          <w:u w:val="single"/>
        </w:rPr>
        <w:t xml:space="preserve">ο πρόσθετος δασμός για προϊόντα προέλευσης ΕΕ είναι 10% συν τον δασμό </w:t>
      </w:r>
      <w:r w:rsidRPr="009B07B9">
        <w:rPr>
          <w:u w:val="single"/>
          <w:lang w:val="en-US"/>
        </w:rPr>
        <w:t>MFN</w:t>
      </w:r>
      <w:r w:rsidRPr="000F290C">
        <w:t xml:space="preserve">. </w:t>
      </w:r>
      <w:r>
        <w:t xml:space="preserve">Συνεπώς, όφελος υπάρχει για προϊόντα που έχουν δασμό </w:t>
      </w:r>
      <w:r>
        <w:rPr>
          <w:lang w:val="en-US"/>
        </w:rPr>
        <w:t>MFN</w:t>
      </w:r>
      <w:r w:rsidRPr="000F290C">
        <w:t xml:space="preserve"> 0%-4,99%. </w:t>
      </w:r>
      <w:r>
        <w:t xml:space="preserve">Προϊόντα με δασμό </w:t>
      </w:r>
      <w:r>
        <w:rPr>
          <w:lang w:val="en-US"/>
        </w:rPr>
        <w:t>MFN</w:t>
      </w:r>
      <w:r w:rsidRPr="000F290C">
        <w:t xml:space="preserve"> </w:t>
      </w:r>
      <w:r>
        <w:t>ίσο με 5% δεν θα έχουν αλλαγή.</w:t>
      </w:r>
      <w:r w:rsidR="009B07B9">
        <w:t xml:space="preserve"> </w:t>
      </w:r>
      <w:r>
        <w:t xml:space="preserve">Προϊόντα με δασμό </w:t>
      </w:r>
      <w:r>
        <w:rPr>
          <w:lang w:val="en-US"/>
        </w:rPr>
        <w:t>MFN</w:t>
      </w:r>
      <w:r w:rsidRPr="000F290C">
        <w:t xml:space="preserve"> </w:t>
      </w:r>
      <w:r>
        <w:t>ανώτερο του 5%, θα έχουν μεγαλύτερη επιβάρυνση απ’ ό,τι είχαν έως 24/2.</w:t>
      </w:r>
    </w:p>
    <w:p w14:paraId="749372CA" w14:textId="6B15A8AE" w:rsidR="000F290C" w:rsidRDefault="000F290C" w:rsidP="009B07B9">
      <w:pPr>
        <w:pBdr>
          <w:top w:val="single" w:sz="4" w:space="1" w:color="auto"/>
          <w:left w:val="single" w:sz="4" w:space="4" w:color="auto"/>
          <w:bottom w:val="single" w:sz="4" w:space="1" w:color="auto"/>
          <w:right w:val="single" w:sz="4" w:space="4" w:color="auto"/>
        </w:pBdr>
        <w:spacing w:after="120"/>
        <w:jc w:val="both"/>
      </w:pPr>
      <w:r>
        <w:t xml:space="preserve">Δεδομένου ότι για </w:t>
      </w:r>
      <w:r w:rsidR="009B07B9">
        <w:t xml:space="preserve">την </w:t>
      </w:r>
      <w:r>
        <w:t xml:space="preserve">συντριπτική πλειοψηφία των εισαγωγών στις ΗΠΑ ο δασμός </w:t>
      </w:r>
      <w:r>
        <w:rPr>
          <w:lang w:val="en-US"/>
        </w:rPr>
        <w:t>MFN</w:t>
      </w:r>
      <w:r w:rsidRPr="000F290C">
        <w:t xml:space="preserve"> </w:t>
      </w:r>
      <w:r>
        <w:t xml:space="preserve">ήταν μηδενικός, εκτιμούμε ότι η μεγάλη πλειοψηφία των ελληνικών προϊόντων θα έχει εισαγωγικό δασμό στις ΗΠΑ </w:t>
      </w:r>
      <w:r w:rsidR="00B214AF">
        <w:t xml:space="preserve">ύψους 10% και πάντως </w:t>
      </w:r>
      <w:r>
        <w:t xml:space="preserve">χαμηλότερο </w:t>
      </w:r>
      <w:r w:rsidR="009B07B9">
        <w:t>του</w:t>
      </w:r>
      <w:r>
        <w:t xml:space="preserve"> 15% που αντιμετώπιζε έως τις 24/2</w:t>
      </w:r>
      <w:r w:rsidR="00B214AF">
        <w:t>.</w:t>
      </w:r>
    </w:p>
    <w:p w14:paraId="5ADFFDFB" w14:textId="5E1F5BFA" w:rsidR="009B07B9" w:rsidRDefault="009B07B9" w:rsidP="000F290C">
      <w:pPr>
        <w:spacing w:after="120"/>
        <w:jc w:val="both"/>
      </w:pPr>
    </w:p>
    <w:p w14:paraId="76809026" w14:textId="5F9F8B47" w:rsidR="009B07B9" w:rsidRPr="00D82F26" w:rsidRDefault="00D82F26" w:rsidP="00D82F26">
      <w:pPr>
        <w:tabs>
          <w:tab w:val="center" w:pos="5400"/>
        </w:tabs>
        <w:jc w:val="both"/>
        <w:rPr>
          <w:sz w:val="20"/>
          <w:szCs w:val="20"/>
        </w:rPr>
      </w:pPr>
      <w:r w:rsidRPr="00D82F26">
        <w:rPr>
          <w:sz w:val="20"/>
          <w:szCs w:val="20"/>
        </w:rPr>
        <w:t xml:space="preserve">Συντάκτης: </w:t>
      </w:r>
      <w:r w:rsidR="009B07B9" w:rsidRPr="00D82F26">
        <w:rPr>
          <w:sz w:val="20"/>
          <w:szCs w:val="20"/>
        </w:rPr>
        <w:t>Διονύσης Πρωτοπαπάς</w:t>
      </w:r>
      <w:r w:rsidRPr="00D82F26">
        <w:rPr>
          <w:sz w:val="20"/>
          <w:szCs w:val="20"/>
        </w:rPr>
        <w:t xml:space="preserve">, </w:t>
      </w:r>
      <w:r w:rsidR="009B07B9" w:rsidRPr="00D82F26">
        <w:rPr>
          <w:sz w:val="20"/>
          <w:szCs w:val="20"/>
        </w:rPr>
        <w:t>Γενικός Σύμβουλος ΟΕΥ Β’</w:t>
      </w:r>
    </w:p>
    <w:sectPr w:rsidR="009B07B9" w:rsidRPr="00D82F26" w:rsidSect="005C19D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3EC0D" w14:textId="77777777" w:rsidR="000C7E9C" w:rsidRDefault="000C7E9C" w:rsidP="00ED0F59">
      <w:r>
        <w:separator/>
      </w:r>
    </w:p>
  </w:endnote>
  <w:endnote w:type="continuationSeparator" w:id="0">
    <w:p w14:paraId="5AC9E5C7" w14:textId="77777777" w:rsidR="000C7E9C" w:rsidRDefault="000C7E9C"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7495" w14:textId="26981178" w:rsidR="00902C28" w:rsidRPr="00902C28" w:rsidRDefault="00902C28" w:rsidP="00902C28">
    <w:pPr>
      <w:pStyle w:val="Footer"/>
      <w:pBdr>
        <w:top w:val="single" w:sz="4" w:space="1" w:color="auto"/>
      </w:pBdr>
      <w:jc w:val="center"/>
      <w:rPr>
        <w:sz w:val="20"/>
        <w:szCs w:val="20"/>
        <w:lang w:val="en-US"/>
      </w:rPr>
    </w:pPr>
    <w:r w:rsidRPr="00902C28">
      <w:rPr>
        <w:sz w:val="20"/>
        <w:szCs w:val="20"/>
        <w:lang w:val="en-US"/>
      </w:rPr>
      <w:t xml:space="preserve">2217 Massachusetts Ave. NW, Washington DC, </w:t>
    </w:r>
    <w:hyperlink r:id="rId1" w:history="1">
      <w:r w:rsidRPr="00902C28">
        <w:rPr>
          <w:rStyle w:val="Hyperlink"/>
          <w:sz w:val="20"/>
          <w:szCs w:val="20"/>
          <w:lang w:val="en-US"/>
        </w:rPr>
        <w:t>ecocom-washington@mfa.gr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519E3" w14:textId="77777777" w:rsidR="000C7E9C" w:rsidRDefault="000C7E9C" w:rsidP="00ED0F59">
      <w:r>
        <w:separator/>
      </w:r>
    </w:p>
  </w:footnote>
  <w:footnote w:type="continuationSeparator" w:id="0">
    <w:p w14:paraId="412C71E0" w14:textId="77777777" w:rsidR="000C7E9C" w:rsidRDefault="000C7E9C" w:rsidP="00ED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5AF"/>
    <w:multiLevelType w:val="hybridMultilevel"/>
    <w:tmpl w:val="4006A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F51A7"/>
    <w:multiLevelType w:val="hybridMultilevel"/>
    <w:tmpl w:val="7376EA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270C3881"/>
    <w:multiLevelType w:val="multilevel"/>
    <w:tmpl w:val="FD34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967D4"/>
    <w:multiLevelType w:val="multilevel"/>
    <w:tmpl w:val="1D36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73759"/>
    <w:multiLevelType w:val="hybridMultilevel"/>
    <w:tmpl w:val="08DC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B6FA6"/>
    <w:multiLevelType w:val="hybridMultilevel"/>
    <w:tmpl w:val="EF88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4782F"/>
    <w:multiLevelType w:val="multilevel"/>
    <w:tmpl w:val="E300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A1C29"/>
    <w:multiLevelType w:val="hybridMultilevel"/>
    <w:tmpl w:val="FF80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F00DB"/>
    <w:multiLevelType w:val="hybridMultilevel"/>
    <w:tmpl w:val="6AA220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9CF5C9E"/>
    <w:multiLevelType w:val="hybridMultilevel"/>
    <w:tmpl w:val="B186D484"/>
    <w:lvl w:ilvl="0" w:tplc="BB986A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04C5C"/>
    <w:multiLevelType w:val="multilevel"/>
    <w:tmpl w:val="766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6" w15:restartNumberingAfterBreak="0">
    <w:nsid w:val="6BCB28DF"/>
    <w:multiLevelType w:val="hybridMultilevel"/>
    <w:tmpl w:val="6E2E46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65CE0"/>
    <w:multiLevelType w:val="hybridMultilevel"/>
    <w:tmpl w:val="5D5E7CC2"/>
    <w:lvl w:ilvl="0" w:tplc="C0586D04">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74EC466F"/>
    <w:multiLevelType w:val="hybridMultilevel"/>
    <w:tmpl w:val="9EAA7A34"/>
    <w:lvl w:ilvl="0" w:tplc="31C83868">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91DEF"/>
    <w:multiLevelType w:val="hybridMultilevel"/>
    <w:tmpl w:val="359AAC9C"/>
    <w:lvl w:ilvl="0" w:tplc="31C83868">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7BA36447"/>
    <w:multiLevelType w:val="multilevel"/>
    <w:tmpl w:val="7100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7"/>
  </w:num>
  <w:num w:numId="4">
    <w:abstractNumId w:val="1"/>
  </w:num>
  <w:num w:numId="5">
    <w:abstractNumId w:val="2"/>
  </w:num>
  <w:num w:numId="6">
    <w:abstractNumId w:val="15"/>
  </w:num>
  <w:num w:numId="7">
    <w:abstractNumId w:val="21"/>
  </w:num>
  <w:num w:numId="8">
    <w:abstractNumId w:val="13"/>
  </w:num>
  <w:num w:numId="9">
    <w:abstractNumId w:val="18"/>
  </w:num>
  <w:num w:numId="10">
    <w:abstractNumId w:val="3"/>
  </w:num>
  <w:num w:numId="11">
    <w:abstractNumId w:val="5"/>
  </w:num>
  <w:num w:numId="12">
    <w:abstractNumId w:val="7"/>
  </w:num>
  <w:num w:numId="13">
    <w:abstractNumId w:val="6"/>
  </w:num>
  <w:num w:numId="14">
    <w:abstractNumId w:val="11"/>
  </w:num>
  <w:num w:numId="15">
    <w:abstractNumId w:val="20"/>
  </w:num>
  <w:num w:numId="16">
    <w:abstractNumId w:val="19"/>
  </w:num>
  <w:num w:numId="17">
    <w:abstractNumId w:val="8"/>
  </w:num>
  <w:num w:numId="18">
    <w:abstractNumId w:val="4"/>
  </w:num>
  <w:num w:numId="19">
    <w:abstractNumId w:val="14"/>
  </w:num>
  <w:num w:numId="20">
    <w:abstractNumId w:val="1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23FA"/>
    <w:rsid w:val="0000572C"/>
    <w:rsid w:val="00014B2B"/>
    <w:rsid w:val="0001674E"/>
    <w:rsid w:val="000401B9"/>
    <w:rsid w:val="0004144E"/>
    <w:rsid w:val="00044782"/>
    <w:rsid w:val="0005500E"/>
    <w:rsid w:val="00055836"/>
    <w:rsid w:val="0006685D"/>
    <w:rsid w:val="000668B8"/>
    <w:rsid w:val="00066926"/>
    <w:rsid w:val="0007753B"/>
    <w:rsid w:val="0008347D"/>
    <w:rsid w:val="000B6820"/>
    <w:rsid w:val="000C3CC2"/>
    <w:rsid w:val="000C7E54"/>
    <w:rsid w:val="000C7E9C"/>
    <w:rsid w:val="000D1317"/>
    <w:rsid w:val="000D1F85"/>
    <w:rsid w:val="000D5BF1"/>
    <w:rsid w:val="000E76F2"/>
    <w:rsid w:val="000E7F4F"/>
    <w:rsid w:val="000F0D92"/>
    <w:rsid w:val="000F290C"/>
    <w:rsid w:val="000F3F06"/>
    <w:rsid w:val="000F5549"/>
    <w:rsid w:val="000F7664"/>
    <w:rsid w:val="00106EDF"/>
    <w:rsid w:val="00120B26"/>
    <w:rsid w:val="00120F41"/>
    <w:rsid w:val="00124A68"/>
    <w:rsid w:val="00127461"/>
    <w:rsid w:val="00133ECA"/>
    <w:rsid w:val="00137237"/>
    <w:rsid w:val="001423D0"/>
    <w:rsid w:val="001436CF"/>
    <w:rsid w:val="0014506B"/>
    <w:rsid w:val="00145591"/>
    <w:rsid w:val="001478E8"/>
    <w:rsid w:val="00151D6F"/>
    <w:rsid w:val="001567FE"/>
    <w:rsid w:val="0015688A"/>
    <w:rsid w:val="00160B57"/>
    <w:rsid w:val="00163D7C"/>
    <w:rsid w:val="001727BB"/>
    <w:rsid w:val="00172DED"/>
    <w:rsid w:val="00176189"/>
    <w:rsid w:val="001763A5"/>
    <w:rsid w:val="00187EF2"/>
    <w:rsid w:val="00190130"/>
    <w:rsid w:val="0019185E"/>
    <w:rsid w:val="00193471"/>
    <w:rsid w:val="00193F20"/>
    <w:rsid w:val="001B0CD6"/>
    <w:rsid w:val="001B1F74"/>
    <w:rsid w:val="001B37F2"/>
    <w:rsid w:val="001B3AD3"/>
    <w:rsid w:val="001B7689"/>
    <w:rsid w:val="001B7F31"/>
    <w:rsid w:val="001C0266"/>
    <w:rsid w:val="001C1D0F"/>
    <w:rsid w:val="001C2905"/>
    <w:rsid w:val="001C7C2F"/>
    <w:rsid w:val="001D56DA"/>
    <w:rsid w:val="001E2D2D"/>
    <w:rsid w:val="001E30D3"/>
    <w:rsid w:val="001E5773"/>
    <w:rsid w:val="001E5B93"/>
    <w:rsid w:val="001E6302"/>
    <w:rsid w:val="001E72D2"/>
    <w:rsid w:val="001E750D"/>
    <w:rsid w:val="001E7984"/>
    <w:rsid w:val="001F03AF"/>
    <w:rsid w:val="001F3212"/>
    <w:rsid w:val="001F75C2"/>
    <w:rsid w:val="001F7613"/>
    <w:rsid w:val="001F7E23"/>
    <w:rsid w:val="002076DF"/>
    <w:rsid w:val="00217651"/>
    <w:rsid w:val="00223260"/>
    <w:rsid w:val="0022399D"/>
    <w:rsid w:val="00226DC3"/>
    <w:rsid w:val="0022790A"/>
    <w:rsid w:val="0023260B"/>
    <w:rsid w:val="00232AD5"/>
    <w:rsid w:val="002332AA"/>
    <w:rsid w:val="00236858"/>
    <w:rsid w:val="002371AB"/>
    <w:rsid w:val="0024111A"/>
    <w:rsid w:val="002428D9"/>
    <w:rsid w:val="00242D48"/>
    <w:rsid w:val="00242F64"/>
    <w:rsid w:val="0024649B"/>
    <w:rsid w:val="002510E3"/>
    <w:rsid w:val="0025390A"/>
    <w:rsid w:val="00271995"/>
    <w:rsid w:val="00274043"/>
    <w:rsid w:val="002766E6"/>
    <w:rsid w:val="0028230E"/>
    <w:rsid w:val="0028546A"/>
    <w:rsid w:val="0028624E"/>
    <w:rsid w:val="00287445"/>
    <w:rsid w:val="002935CD"/>
    <w:rsid w:val="00294E5A"/>
    <w:rsid w:val="002A7DC6"/>
    <w:rsid w:val="002B069F"/>
    <w:rsid w:val="002B1D65"/>
    <w:rsid w:val="002B21CD"/>
    <w:rsid w:val="002B620E"/>
    <w:rsid w:val="002B62C7"/>
    <w:rsid w:val="002B737B"/>
    <w:rsid w:val="002C43D2"/>
    <w:rsid w:val="002C4A39"/>
    <w:rsid w:val="002D0F64"/>
    <w:rsid w:val="002D100E"/>
    <w:rsid w:val="002F2E72"/>
    <w:rsid w:val="002F54CD"/>
    <w:rsid w:val="002F78C3"/>
    <w:rsid w:val="0030242B"/>
    <w:rsid w:val="003030BD"/>
    <w:rsid w:val="00304B38"/>
    <w:rsid w:val="003071A6"/>
    <w:rsid w:val="003119D0"/>
    <w:rsid w:val="0031656C"/>
    <w:rsid w:val="00321DD9"/>
    <w:rsid w:val="00330D19"/>
    <w:rsid w:val="00334A56"/>
    <w:rsid w:val="00335F13"/>
    <w:rsid w:val="0034521C"/>
    <w:rsid w:val="0034571D"/>
    <w:rsid w:val="003507B0"/>
    <w:rsid w:val="003516C2"/>
    <w:rsid w:val="00355EF6"/>
    <w:rsid w:val="0035794B"/>
    <w:rsid w:val="00360631"/>
    <w:rsid w:val="00360EEC"/>
    <w:rsid w:val="003A0736"/>
    <w:rsid w:val="003A7F99"/>
    <w:rsid w:val="003B09B9"/>
    <w:rsid w:val="003B2DD2"/>
    <w:rsid w:val="003B518B"/>
    <w:rsid w:val="003C5FDE"/>
    <w:rsid w:val="003C70F4"/>
    <w:rsid w:val="003D0533"/>
    <w:rsid w:val="003D18E4"/>
    <w:rsid w:val="003D394D"/>
    <w:rsid w:val="003D5DFA"/>
    <w:rsid w:val="003E0C0B"/>
    <w:rsid w:val="003E0ED8"/>
    <w:rsid w:val="003E3BB8"/>
    <w:rsid w:val="003E7658"/>
    <w:rsid w:val="003F2EB7"/>
    <w:rsid w:val="003F3914"/>
    <w:rsid w:val="003F5AEF"/>
    <w:rsid w:val="003F5B53"/>
    <w:rsid w:val="003F605F"/>
    <w:rsid w:val="004034F7"/>
    <w:rsid w:val="004039BD"/>
    <w:rsid w:val="00405A32"/>
    <w:rsid w:val="00415F11"/>
    <w:rsid w:val="00420725"/>
    <w:rsid w:val="00420CBA"/>
    <w:rsid w:val="00421473"/>
    <w:rsid w:val="004258AB"/>
    <w:rsid w:val="004279E2"/>
    <w:rsid w:val="00436A52"/>
    <w:rsid w:val="004452F9"/>
    <w:rsid w:val="00452555"/>
    <w:rsid w:val="00460B03"/>
    <w:rsid w:val="0046101E"/>
    <w:rsid w:val="004640EB"/>
    <w:rsid w:val="004651FA"/>
    <w:rsid w:val="0047272D"/>
    <w:rsid w:val="004727C4"/>
    <w:rsid w:val="00472B82"/>
    <w:rsid w:val="00473856"/>
    <w:rsid w:val="004747E8"/>
    <w:rsid w:val="00476589"/>
    <w:rsid w:val="004832E8"/>
    <w:rsid w:val="00483C88"/>
    <w:rsid w:val="00483F46"/>
    <w:rsid w:val="004861E1"/>
    <w:rsid w:val="00486563"/>
    <w:rsid w:val="004A41CC"/>
    <w:rsid w:val="004B1A44"/>
    <w:rsid w:val="004B44C3"/>
    <w:rsid w:val="004C4DC9"/>
    <w:rsid w:val="004C4E3D"/>
    <w:rsid w:val="004C52A3"/>
    <w:rsid w:val="004C7B75"/>
    <w:rsid w:val="004D7AE5"/>
    <w:rsid w:val="004E0CD9"/>
    <w:rsid w:val="004E209B"/>
    <w:rsid w:val="004E4AAD"/>
    <w:rsid w:val="004E4AF3"/>
    <w:rsid w:val="004F2DCA"/>
    <w:rsid w:val="004F5107"/>
    <w:rsid w:val="00501183"/>
    <w:rsid w:val="00503B3E"/>
    <w:rsid w:val="00510381"/>
    <w:rsid w:val="00510836"/>
    <w:rsid w:val="00512E83"/>
    <w:rsid w:val="00517DE1"/>
    <w:rsid w:val="00522BA2"/>
    <w:rsid w:val="00523013"/>
    <w:rsid w:val="005240FE"/>
    <w:rsid w:val="00524D35"/>
    <w:rsid w:val="00525E0C"/>
    <w:rsid w:val="00526360"/>
    <w:rsid w:val="00530C7F"/>
    <w:rsid w:val="0053200C"/>
    <w:rsid w:val="00542234"/>
    <w:rsid w:val="005500C6"/>
    <w:rsid w:val="005538EB"/>
    <w:rsid w:val="00553B70"/>
    <w:rsid w:val="005568EB"/>
    <w:rsid w:val="00557FEE"/>
    <w:rsid w:val="00562706"/>
    <w:rsid w:val="00562B09"/>
    <w:rsid w:val="005725CB"/>
    <w:rsid w:val="00572768"/>
    <w:rsid w:val="0057313E"/>
    <w:rsid w:val="00575F88"/>
    <w:rsid w:val="0057723F"/>
    <w:rsid w:val="005776AD"/>
    <w:rsid w:val="00581695"/>
    <w:rsid w:val="0058198B"/>
    <w:rsid w:val="005845F8"/>
    <w:rsid w:val="005848B3"/>
    <w:rsid w:val="00595A5D"/>
    <w:rsid w:val="00595CDE"/>
    <w:rsid w:val="00596AA7"/>
    <w:rsid w:val="005A0593"/>
    <w:rsid w:val="005A669C"/>
    <w:rsid w:val="005B1925"/>
    <w:rsid w:val="005B1AD0"/>
    <w:rsid w:val="005B257B"/>
    <w:rsid w:val="005B3762"/>
    <w:rsid w:val="005B741D"/>
    <w:rsid w:val="005C0516"/>
    <w:rsid w:val="005C0B73"/>
    <w:rsid w:val="005C1266"/>
    <w:rsid w:val="005C19D5"/>
    <w:rsid w:val="005C2EC4"/>
    <w:rsid w:val="005C4E54"/>
    <w:rsid w:val="005C4F39"/>
    <w:rsid w:val="005C618C"/>
    <w:rsid w:val="005D0731"/>
    <w:rsid w:val="005D3886"/>
    <w:rsid w:val="005E74C0"/>
    <w:rsid w:val="005F36D0"/>
    <w:rsid w:val="00602A39"/>
    <w:rsid w:val="00612E33"/>
    <w:rsid w:val="00613C0F"/>
    <w:rsid w:val="006143CE"/>
    <w:rsid w:val="00622DBA"/>
    <w:rsid w:val="006273B9"/>
    <w:rsid w:val="00632545"/>
    <w:rsid w:val="00633339"/>
    <w:rsid w:val="00633E7E"/>
    <w:rsid w:val="006473A2"/>
    <w:rsid w:val="0065076B"/>
    <w:rsid w:val="006516F4"/>
    <w:rsid w:val="00656901"/>
    <w:rsid w:val="00662B2C"/>
    <w:rsid w:val="00670F9D"/>
    <w:rsid w:val="0067460E"/>
    <w:rsid w:val="00674B85"/>
    <w:rsid w:val="00681E8A"/>
    <w:rsid w:val="006833AB"/>
    <w:rsid w:val="00683C78"/>
    <w:rsid w:val="00686E7D"/>
    <w:rsid w:val="00690B96"/>
    <w:rsid w:val="00693627"/>
    <w:rsid w:val="00695651"/>
    <w:rsid w:val="006956E9"/>
    <w:rsid w:val="00695B1A"/>
    <w:rsid w:val="0069643C"/>
    <w:rsid w:val="006A51FC"/>
    <w:rsid w:val="006A5736"/>
    <w:rsid w:val="006A66C9"/>
    <w:rsid w:val="006B1830"/>
    <w:rsid w:val="006B44D0"/>
    <w:rsid w:val="006C3964"/>
    <w:rsid w:val="006C4595"/>
    <w:rsid w:val="006C4739"/>
    <w:rsid w:val="006C4750"/>
    <w:rsid w:val="006D6F58"/>
    <w:rsid w:val="006D7D75"/>
    <w:rsid w:val="006E2A6E"/>
    <w:rsid w:val="006E79E2"/>
    <w:rsid w:val="006F28FB"/>
    <w:rsid w:val="006F7489"/>
    <w:rsid w:val="00703E84"/>
    <w:rsid w:val="0070655B"/>
    <w:rsid w:val="0071199C"/>
    <w:rsid w:val="00714D4F"/>
    <w:rsid w:val="00716E63"/>
    <w:rsid w:val="00721EB0"/>
    <w:rsid w:val="007271DD"/>
    <w:rsid w:val="007301B4"/>
    <w:rsid w:val="0073641C"/>
    <w:rsid w:val="0074176D"/>
    <w:rsid w:val="00751E97"/>
    <w:rsid w:val="00752DCA"/>
    <w:rsid w:val="00755C86"/>
    <w:rsid w:val="00757A3A"/>
    <w:rsid w:val="00762188"/>
    <w:rsid w:val="00762A36"/>
    <w:rsid w:val="0077257E"/>
    <w:rsid w:val="00773C76"/>
    <w:rsid w:val="007766D7"/>
    <w:rsid w:val="00784326"/>
    <w:rsid w:val="0078614F"/>
    <w:rsid w:val="00786736"/>
    <w:rsid w:val="00786E6A"/>
    <w:rsid w:val="0078711A"/>
    <w:rsid w:val="00793DA4"/>
    <w:rsid w:val="0079435D"/>
    <w:rsid w:val="007B74CE"/>
    <w:rsid w:val="007C2E2E"/>
    <w:rsid w:val="007D1E00"/>
    <w:rsid w:val="007D4914"/>
    <w:rsid w:val="007D5F43"/>
    <w:rsid w:val="007D6BEF"/>
    <w:rsid w:val="007E0D4A"/>
    <w:rsid w:val="007F0E3A"/>
    <w:rsid w:val="007F2064"/>
    <w:rsid w:val="007F2446"/>
    <w:rsid w:val="007F5416"/>
    <w:rsid w:val="008003DD"/>
    <w:rsid w:val="008008DA"/>
    <w:rsid w:val="0080411D"/>
    <w:rsid w:val="00842C8F"/>
    <w:rsid w:val="00843725"/>
    <w:rsid w:val="00843C80"/>
    <w:rsid w:val="0085151E"/>
    <w:rsid w:val="008518E3"/>
    <w:rsid w:val="00856DDA"/>
    <w:rsid w:val="0085709D"/>
    <w:rsid w:val="00861469"/>
    <w:rsid w:val="00863B67"/>
    <w:rsid w:val="0086589A"/>
    <w:rsid w:val="00866B1A"/>
    <w:rsid w:val="008706FA"/>
    <w:rsid w:val="00871234"/>
    <w:rsid w:val="00873760"/>
    <w:rsid w:val="00877113"/>
    <w:rsid w:val="008815F9"/>
    <w:rsid w:val="008853A7"/>
    <w:rsid w:val="00886F00"/>
    <w:rsid w:val="008873B7"/>
    <w:rsid w:val="008B197A"/>
    <w:rsid w:val="008B3955"/>
    <w:rsid w:val="008B4613"/>
    <w:rsid w:val="008B520F"/>
    <w:rsid w:val="008C21B9"/>
    <w:rsid w:val="008C472E"/>
    <w:rsid w:val="008D3B83"/>
    <w:rsid w:val="008D3BA0"/>
    <w:rsid w:val="008D49B0"/>
    <w:rsid w:val="008D75FE"/>
    <w:rsid w:val="008E633D"/>
    <w:rsid w:val="008E64F5"/>
    <w:rsid w:val="008E79F9"/>
    <w:rsid w:val="00900BED"/>
    <w:rsid w:val="00902C28"/>
    <w:rsid w:val="00912D70"/>
    <w:rsid w:val="00914F19"/>
    <w:rsid w:val="00915CBB"/>
    <w:rsid w:val="00922C90"/>
    <w:rsid w:val="00923F39"/>
    <w:rsid w:val="0093072D"/>
    <w:rsid w:val="009355D4"/>
    <w:rsid w:val="009375AA"/>
    <w:rsid w:val="00944297"/>
    <w:rsid w:val="00946531"/>
    <w:rsid w:val="00946D57"/>
    <w:rsid w:val="009515C1"/>
    <w:rsid w:val="00954019"/>
    <w:rsid w:val="00957D82"/>
    <w:rsid w:val="00977813"/>
    <w:rsid w:val="00982C48"/>
    <w:rsid w:val="00985F9B"/>
    <w:rsid w:val="009A02B2"/>
    <w:rsid w:val="009A3FA9"/>
    <w:rsid w:val="009A4450"/>
    <w:rsid w:val="009B07B9"/>
    <w:rsid w:val="009B2E11"/>
    <w:rsid w:val="009B5AF4"/>
    <w:rsid w:val="009B68B7"/>
    <w:rsid w:val="009C7B54"/>
    <w:rsid w:val="009D30D2"/>
    <w:rsid w:val="009D4866"/>
    <w:rsid w:val="009D4DE8"/>
    <w:rsid w:val="009F39E0"/>
    <w:rsid w:val="009F4DAC"/>
    <w:rsid w:val="00A009FC"/>
    <w:rsid w:val="00A045A2"/>
    <w:rsid w:val="00A10E4C"/>
    <w:rsid w:val="00A234B3"/>
    <w:rsid w:val="00A30971"/>
    <w:rsid w:val="00A36763"/>
    <w:rsid w:val="00A454C9"/>
    <w:rsid w:val="00A53DCC"/>
    <w:rsid w:val="00A5729F"/>
    <w:rsid w:val="00A65F38"/>
    <w:rsid w:val="00A65F39"/>
    <w:rsid w:val="00A676D7"/>
    <w:rsid w:val="00A71558"/>
    <w:rsid w:val="00A73AC3"/>
    <w:rsid w:val="00A961AE"/>
    <w:rsid w:val="00AA30EC"/>
    <w:rsid w:val="00AC56D5"/>
    <w:rsid w:val="00AC771D"/>
    <w:rsid w:val="00AD18BD"/>
    <w:rsid w:val="00AD386B"/>
    <w:rsid w:val="00AD3AA6"/>
    <w:rsid w:val="00AD6126"/>
    <w:rsid w:val="00AE4893"/>
    <w:rsid w:val="00AE756B"/>
    <w:rsid w:val="00AF0144"/>
    <w:rsid w:val="00AF0268"/>
    <w:rsid w:val="00AF4268"/>
    <w:rsid w:val="00AF4963"/>
    <w:rsid w:val="00AF52A3"/>
    <w:rsid w:val="00AF5AA0"/>
    <w:rsid w:val="00AF5ABB"/>
    <w:rsid w:val="00AF6EF8"/>
    <w:rsid w:val="00B066C5"/>
    <w:rsid w:val="00B06B5B"/>
    <w:rsid w:val="00B117CC"/>
    <w:rsid w:val="00B11AF4"/>
    <w:rsid w:val="00B11E9E"/>
    <w:rsid w:val="00B20C2A"/>
    <w:rsid w:val="00B214AF"/>
    <w:rsid w:val="00B23721"/>
    <w:rsid w:val="00B23CBA"/>
    <w:rsid w:val="00B244C5"/>
    <w:rsid w:val="00B246CF"/>
    <w:rsid w:val="00B30A4D"/>
    <w:rsid w:val="00B30DC8"/>
    <w:rsid w:val="00B31FF4"/>
    <w:rsid w:val="00B33BEB"/>
    <w:rsid w:val="00B42700"/>
    <w:rsid w:val="00B4342D"/>
    <w:rsid w:val="00B438B4"/>
    <w:rsid w:val="00B43BC6"/>
    <w:rsid w:val="00B44960"/>
    <w:rsid w:val="00B47EC1"/>
    <w:rsid w:val="00B47F04"/>
    <w:rsid w:val="00B57147"/>
    <w:rsid w:val="00B62DD4"/>
    <w:rsid w:val="00B7166C"/>
    <w:rsid w:val="00B71812"/>
    <w:rsid w:val="00B73848"/>
    <w:rsid w:val="00B757E2"/>
    <w:rsid w:val="00B7590C"/>
    <w:rsid w:val="00B76773"/>
    <w:rsid w:val="00B768EC"/>
    <w:rsid w:val="00B770F7"/>
    <w:rsid w:val="00B906E0"/>
    <w:rsid w:val="00B9221C"/>
    <w:rsid w:val="00B92A35"/>
    <w:rsid w:val="00B953FD"/>
    <w:rsid w:val="00BA1A01"/>
    <w:rsid w:val="00BA2011"/>
    <w:rsid w:val="00BB0D2C"/>
    <w:rsid w:val="00BB4B8C"/>
    <w:rsid w:val="00BB68E8"/>
    <w:rsid w:val="00BB6E75"/>
    <w:rsid w:val="00BB7834"/>
    <w:rsid w:val="00BC024D"/>
    <w:rsid w:val="00BD1DD5"/>
    <w:rsid w:val="00BD65D7"/>
    <w:rsid w:val="00BF38C1"/>
    <w:rsid w:val="00BF4FD7"/>
    <w:rsid w:val="00BF5AE2"/>
    <w:rsid w:val="00BF5E93"/>
    <w:rsid w:val="00C0294C"/>
    <w:rsid w:val="00C03628"/>
    <w:rsid w:val="00C039B3"/>
    <w:rsid w:val="00C054E4"/>
    <w:rsid w:val="00C13A00"/>
    <w:rsid w:val="00C14E2D"/>
    <w:rsid w:val="00C16E71"/>
    <w:rsid w:val="00C20865"/>
    <w:rsid w:val="00C23585"/>
    <w:rsid w:val="00C25A68"/>
    <w:rsid w:val="00C25E7F"/>
    <w:rsid w:val="00C30777"/>
    <w:rsid w:val="00C329EE"/>
    <w:rsid w:val="00C34236"/>
    <w:rsid w:val="00C427B1"/>
    <w:rsid w:val="00C44D21"/>
    <w:rsid w:val="00C47F69"/>
    <w:rsid w:val="00C56838"/>
    <w:rsid w:val="00C56ECF"/>
    <w:rsid w:val="00C62429"/>
    <w:rsid w:val="00C6566C"/>
    <w:rsid w:val="00C65D0C"/>
    <w:rsid w:val="00C665A7"/>
    <w:rsid w:val="00C83C8E"/>
    <w:rsid w:val="00C9177C"/>
    <w:rsid w:val="00C91D29"/>
    <w:rsid w:val="00CA0F78"/>
    <w:rsid w:val="00CA45D3"/>
    <w:rsid w:val="00CA4DD5"/>
    <w:rsid w:val="00CB1466"/>
    <w:rsid w:val="00CB22B9"/>
    <w:rsid w:val="00CB5A0D"/>
    <w:rsid w:val="00CC7D56"/>
    <w:rsid w:val="00CD01E4"/>
    <w:rsid w:val="00CE321F"/>
    <w:rsid w:val="00CE3AF2"/>
    <w:rsid w:val="00CF5878"/>
    <w:rsid w:val="00CF6087"/>
    <w:rsid w:val="00CF6BBC"/>
    <w:rsid w:val="00D01121"/>
    <w:rsid w:val="00D01B41"/>
    <w:rsid w:val="00D02907"/>
    <w:rsid w:val="00D05FC7"/>
    <w:rsid w:val="00D06CB8"/>
    <w:rsid w:val="00D116D8"/>
    <w:rsid w:val="00D11AFB"/>
    <w:rsid w:val="00D12006"/>
    <w:rsid w:val="00D14AF0"/>
    <w:rsid w:val="00D24EBD"/>
    <w:rsid w:val="00D255AE"/>
    <w:rsid w:val="00D25FB7"/>
    <w:rsid w:val="00D26C17"/>
    <w:rsid w:val="00D32C3E"/>
    <w:rsid w:val="00D364AC"/>
    <w:rsid w:val="00D37317"/>
    <w:rsid w:val="00D41265"/>
    <w:rsid w:val="00D41748"/>
    <w:rsid w:val="00D44771"/>
    <w:rsid w:val="00D55244"/>
    <w:rsid w:val="00D57C37"/>
    <w:rsid w:val="00D620B4"/>
    <w:rsid w:val="00D6726E"/>
    <w:rsid w:val="00D74296"/>
    <w:rsid w:val="00D82F26"/>
    <w:rsid w:val="00D84992"/>
    <w:rsid w:val="00D85A7D"/>
    <w:rsid w:val="00D86149"/>
    <w:rsid w:val="00D86BF6"/>
    <w:rsid w:val="00D87A71"/>
    <w:rsid w:val="00D93EAA"/>
    <w:rsid w:val="00D9633B"/>
    <w:rsid w:val="00DA3FA8"/>
    <w:rsid w:val="00DA4B4A"/>
    <w:rsid w:val="00DA5ACF"/>
    <w:rsid w:val="00DB0C4C"/>
    <w:rsid w:val="00DB35E4"/>
    <w:rsid w:val="00DB390E"/>
    <w:rsid w:val="00DB44D4"/>
    <w:rsid w:val="00DB4B9F"/>
    <w:rsid w:val="00DB65FB"/>
    <w:rsid w:val="00DB77B8"/>
    <w:rsid w:val="00DC0E68"/>
    <w:rsid w:val="00DC62C0"/>
    <w:rsid w:val="00DC7CB8"/>
    <w:rsid w:val="00DD34E4"/>
    <w:rsid w:val="00DD51D3"/>
    <w:rsid w:val="00DD6657"/>
    <w:rsid w:val="00DE24EE"/>
    <w:rsid w:val="00DE3394"/>
    <w:rsid w:val="00DF708B"/>
    <w:rsid w:val="00DF72BB"/>
    <w:rsid w:val="00E0044C"/>
    <w:rsid w:val="00E005BD"/>
    <w:rsid w:val="00E00D71"/>
    <w:rsid w:val="00E0641C"/>
    <w:rsid w:val="00E10A58"/>
    <w:rsid w:val="00E16D80"/>
    <w:rsid w:val="00E22D4C"/>
    <w:rsid w:val="00E23E89"/>
    <w:rsid w:val="00E25B5F"/>
    <w:rsid w:val="00E27FA4"/>
    <w:rsid w:val="00E443EA"/>
    <w:rsid w:val="00E463DC"/>
    <w:rsid w:val="00E472CB"/>
    <w:rsid w:val="00E511C9"/>
    <w:rsid w:val="00E55557"/>
    <w:rsid w:val="00E6042F"/>
    <w:rsid w:val="00E60884"/>
    <w:rsid w:val="00E6140F"/>
    <w:rsid w:val="00E62B67"/>
    <w:rsid w:val="00E62F76"/>
    <w:rsid w:val="00E670F3"/>
    <w:rsid w:val="00E722BC"/>
    <w:rsid w:val="00E818C6"/>
    <w:rsid w:val="00E84048"/>
    <w:rsid w:val="00E84902"/>
    <w:rsid w:val="00E90849"/>
    <w:rsid w:val="00E92ACC"/>
    <w:rsid w:val="00E94D8F"/>
    <w:rsid w:val="00EA29C4"/>
    <w:rsid w:val="00EA5072"/>
    <w:rsid w:val="00EA744B"/>
    <w:rsid w:val="00EB2468"/>
    <w:rsid w:val="00EB33D9"/>
    <w:rsid w:val="00EB5433"/>
    <w:rsid w:val="00EC1727"/>
    <w:rsid w:val="00EC39B9"/>
    <w:rsid w:val="00EC4D3D"/>
    <w:rsid w:val="00ED0F59"/>
    <w:rsid w:val="00ED7EF2"/>
    <w:rsid w:val="00EE0A82"/>
    <w:rsid w:val="00EE330F"/>
    <w:rsid w:val="00EE7F0B"/>
    <w:rsid w:val="00EF1334"/>
    <w:rsid w:val="00EF2036"/>
    <w:rsid w:val="00EF608D"/>
    <w:rsid w:val="00EF6350"/>
    <w:rsid w:val="00F00763"/>
    <w:rsid w:val="00F00AB1"/>
    <w:rsid w:val="00F03546"/>
    <w:rsid w:val="00F04785"/>
    <w:rsid w:val="00F04C18"/>
    <w:rsid w:val="00F10FF7"/>
    <w:rsid w:val="00F163DB"/>
    <w:rsid w:val="00F17442"/>
    <w:rsid w:val="00F25492"/>
    <w:rsid w:val="00F302A5"/>
    <w:rsid w:val="00F35B62"/>
    <w:rsid w:val="00F41F9E"/>
    <w:rsid w:val="00F43017"/>
    <w:rsid w:val="00F45213"/>
    <w:rsid w:val="00F46E7A"/>
    <w:rsid w:val="00F500B9"/>
    <w:rsid w:val="00F5117A"/>
    <w:rsid w:val="00F52C33"/>
    <w:rsid w:val="00F53A58"/>
    <w:rsid w:val="00F57028"/>
    <w:rsid w:val="00F60974"/>
    <w:rsid w:val="00F63322"/>
    <w:rsid w:val="00F63964"/>
    <w:rsid w:val="00F6532E"/>
    <w:rsid w:val="00F67230"/>
    <w:rsid w:val="00F705C3"/>
    <w:rsid w:val="00F74081"/>
    <w:rsid w:val="00F76353"/>
    <w:rsid w:val="00F76B1C"/>
    <w:rsid w:val="00F817E4"/>
    <w:rsid w:val="00F8513A"/>
    <w:rsid w:val="00F91E0D"/>
    <w:rsid w:val="00F93E9F"/>
    <w:rsid w:val="00FA333E"/>
    <w:rsid w:val="00FA74A0"/>
    <w:rsid w:val="00FB3073"/>
    <w:rsid w:val="00FB3A0B"/>
    <w:rsid w:val="00FC0C00"/>
    <w:rsid w:val="00FC764A"/>
    <w:rsid w:val="00FD51C6"/>
    <w:rsid w:val="00FE29AC"/>
    <w:rsid w:val="00FE326F"/>
    <w:rsid w:val="00FE3D48"/>
    <w:rsid w:val="00FE6AFC"/>
    <w:rsid w:val="00FF0FB0"/>
    <w:rsid w:val="00FF4D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B30A4D"/>
    <w:pPr>
      <w:shd w:val="clear" w:color="auto" w:fill="DBE5F1" w:themeFill="accent1" w:themeFillTint="33"/>
      <w:jc w:val="both"/>
      <w:outlineLvl w:val="0"/>
    </w:pPr>
    <w:rPr>
      <w:rFonts w:ascii="Century Gothic" w:hAnsi="Century Gothic"/>
      <w:b/>
      <w:sz w:val="28"/>
    </w:rPr>
  </w:style>
  <w:style w:type="paragraph" w:styleId="Heading2">
    <w:name w:val="heading 2"/>
    <w:basedOn w:val="Normal"/>
    <w:link w:val="Heading2Char"/>
    <w:uiPriority w:val="9"/>
    <w:qFormat/>
    <w:rsid w:val="00B30A4D"/>
    <w:pPr>
      <w:jc w:val="both"/>
      <w:outlineLvl w:val="1"/>
    </w:pPr>
    <w:rPr>
      <w:rFonts w:ascii="Century Gothic" w:hAnsi="Century Gothic"/>
      <w:b/>
    </w:rPr>
  </w:style>
  <w:style w:type="paragraph" w:styleId="Heading3">
    <w:name w:val="heading 3"/>
    <w:basedOn w:val="Normal"/>
    <w:next w:val="Normal"/>
    <w:link w:val="Heading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4D"/>
    <w:rPr>
      <w:rFonts w:ascii="Century Gothic" w:hAnsi="Century Gothic"/>
      <w:b/>
      <w:sz w:val="28"/>
      <w:shd w:val="clear" w:color="auto" w:fill="DBE5F1" w:themeFill="accent1" w:themeFillTint="33"/>
    </w:rPr>
  </w:style>
  <w:style w:type="character" w:customStyle="1" w:styleId="Heading2Char">
    <w:name w:val="Heading 2 Char"/>
    <w:basedOn w:val="DefaultParagraphFont"/>
    <w:link w:val="Heading2"/>
    <w:uiPriority w:val="9"/>
    <w:rsid w:val="00B30A4D"/>
    <w:rPr>
      <w:rFonts w:ascii="Century Gothic" w:hAnsi="Century Gothic"/>
      <w:b/>
      <w:sz w:val="24"/>
    </w:rPr>
  </w:style>
  <w:style w:type="character" w:customStyle="1" w:styleId="Heading3Char">
    <w:name w:val="Heading 3 Char"/>
    <w:basedOn w:val="DefaultParagraphFont"/>
    <w:link w:val="Heading3"/>
    <w:uiPriority w:val="9"/>
    <w:rsid w:val="00B30A4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qFormat/>
    <w:rsid w:val="00B30A4D"/>
    <w:rPr>
      <w:vertAlign w:val="superscript"/>
    </w:rPr>
  </w:style>
  <w:style w:type="character" w:styleId="Strong">
    <w:name w:val="Strong"/>
    <w:basedOn w:val="DefaultParagraphFont"/>
    <w:uiPriority w:val="22"/>
    <w:qFormat/>
    <w:rsid w:val="00B30A4D"/>
    <w:rPr>
      <w:b/>
      <w:bCs/>
    </w:rPr>
  </w:style>
  <w:style w:type="paragraph" w:styleId="ListParagraph">
    <w:name w:val="List Paragraph"/>
    <w:basedOn w:val="Normal"/>
    <w:uiPriority w:val="34"/>
    <w:qFormat/>
    <w:rsid w:val="00B30A4D"/>
    <w:pPr>
      <w:ind w:left="720"/>
      <w:contextualSpacing/>
    </w:pPr>
  </w:style>
  <w:style w:type="paragraph" w:styleId="TOCHeading">
    <w:name w:val="TOC Heading"/>
    <w:basedOn w:val="Heading1"/>
    <w:next w:val="Normal"/>
    <w:uiPriority w:val="39"/>
    <w:unhideWhenUsed/>
    <w:qFormat/>
    <w:rsid w:val="00B30A4D"/>
    <w:pPr>
      <w:outlineLvl w:val="9"/>
    </w:pPr>
  </w:style>
  <w:style w:type="character" w:styleId="Hyperlink">
    <w:name w:val="Hyperlink"/>
    <w:uiPriority w:val="99"/>
    <w:unhideWhenUsed/>
    <w:qFormat/>
    <w:rsid w:val="00C30777"/>
    <w:rPr>
      <w:color w:val="0000FF"/>
      <w:u w:val="single"/>
    </w:rPr>
  </w:style>
  <w:style w:type="character" w:styleId="UnresolvedMention">
    <w:name w:val="Unresolved Mention"/>
    <w:basedOn w:val="DefaultParagraphFont"/>
    <w:uiPriority w:val="99"/>
    <w:semiHidden/>
    <w:unhideWhenUsed/>
    <w:rsid w:val="00C30777"/>
    <w:rPr>
      <w:color w:val="605E5C"/>
      <w:shd w:val="clear" w:color="auto" w:fill="E1DFDD"/>
    </w:rPr>
  </w:style>
  <w:style w:type="paragraph" w:styleId="EndnoteText">
    <w:name w:val="endnote text"/>
    <w:basedOn w:val="Normal"/>
    <w:link w:val="EndnoteTextChar"/>
    <w:uiPriority w:val="99"/>
    <w:semiHidden/>
    <w:unhideWhenUsed/>
    <w:rsid w:val="00ED0F59"/>
    <w:rPr>
      <w:sz w:val="20"/>
      <w:szCs w:val="20"/>
    </w:rPr>
  </w:style>
  <w:style w:type="character" w:customStyle="1" w:styleId="EndnoteTextChar">
    <w:name w:val="Endnote Text Char"/>
    <w:basedOn w:val="DefaultParagraphFont"/>
    <w:link w:val="EndnoteText"/>
    <w:uiPriority w:val="99"/>
    <w:semiHidden/>
    <w:rsid w:val="00ED0F59"/>
    <w:rPr>
      <w:rFonts w:ascii="Times New Roman" w:eastAsia="Times New Roman" w:hAnsi="Times New Roman" w:cs="Times New Roman"/>
      <w:sz w:val="20"/>
      <w:szCs w:val="20"/>
      <w:lang w:val="el-GR" w:eastAsia="el-GR"/>
    </w:rPr>
  </w:style>
  <w:style w:type="character" w:styleId="EndnoteReference">
    <w:name w:val="endnote reference"/>
    <w:basedOn w:val="DefaultParagraphFont"/>
    <w:uiPriority w:val="99"/>
    <w:semiHidden/>
    <w:unhideWhenUsed/>
    <w:rsid w:val="00ED0F59"/>
    <w:rPr>
      <w:vertAlign w:val="superscript"/>
    </w:rPr>
  </w:style>
  <w:style w:type="character" w:styleId="FollowedHyperlink">
    <w:name w:val="FollowedHyperlink"/>
    <w:basedOn w:val="DefaultParagraphFont"/>
    <w:uiPriority w:val="99"/>
    <w:semiHidden/>
    <w:unhideWhenUsed/>
    <w:rsid w:val="00B23721"/>
    <w:rPr>
      <w:color w:val="800080" w:themeColor="followedHyperlink"/>
      <w:u w:val="single"/>
    </w:rPr>
  </w:style>
  <w:style w:type="paragraph" w:styleId="Header">
    <w:name w:val="header"/>
    <w:basedOn w:val="Normal"/>
    <w:link w:val="HeaderChar"/>
    <w:uiPriority w:val="99"/>
    <w:unhideWhenUsed/>
    <w:rsid w:val="0022399D"/>
    <w:pPr>
      <w:tabs>
        <w:tab w:val="center" w:pos="4680"/>
        <w:tab w:val="right" w:pos="9360"/>
      </w:tabs>
    </w:pPr>
  </w:style>
  <w:style w:type="character" w:customStyle="1" w:styleId="HeaderChar">
    <w:name w:val="Header Char"/>
    <w:basedOn w:val="DefaultParagraphFont"/>
    <w:link w:val="Header"/>
    <w:uiPriority w:val="99"/>
    <w:rsid w:val="0022399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qFormat/>
    <w:rsid w:val="0022399D"/>
    <w:pPr>
      <w:tabs>
        <w:tab w:val="center" w:pos="4680"/>
        <w:tab w:val="right" w:pos="9360"/>
      </w:tabs>
    </w:pPr>
  </w:style>
  <w:style w:type="character" w:customStyle="1" w:styleId="FooterChar">
    <w:name w:val="Footer Char"/>
    <w:basedOn w:val="DefaultParagraphFont"/>
    <w:link w:val="Footer"/>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DefaultParagraphFont"/>
    <w:rsid w:val="00B30DC8"/>
  </w:style>
  <w:style w:type="character" w:customStyle="1" w:styleId="rynqvb">
    <w:name w:val="rynqvb"/>
    <w:basedOn w:val="DefaultParagraphFont"/>
    <w:rsid w:val="00B30DC8"/>
  </w:style>
  <w:style w:type="paragraph" w:styleId="NormalWeb">
    <w:name w:val="Normal (Web)"/>
    <w:basedOn w:val="Normal"/>
    <w:uiPriority w:val="99"/>
    <w:unhideWhenUsed/>
    <w:rsid w:val="005E74C0"/>
    <w:pPr>
      <w:spacing w:before="100" w:beforeAutospacing="1" w:after="100" w:afterAutospacing="1"/>
    </w:pPr>
    <w:rPr>
      <w:lang w:val="en-US" w:eastAsia="en-US"/>
    </w:rPr>
  </w:style>
  <w:style w:type="paragraph" w:styleId="NoSpacing">
    <w:name w:val="No Spacing"/>
    <w:link w:val="NoSpacingChar"/>
    <w:uiPriority w:val="1"/>
    <w:qFormat/>
    <w:rsid w:val="00656901"/>
    <w:pPr>
      <w:spacing w:after="0" w:line="240" w:lineRule="auto"/>
    </w:pPr>
    <w:rPr>
      <w:rFonts w:eastAsiaTheme="minorEastAsia"/>
    </w:rPr>
  </w:style>
  <w:style w:type="character" w:customStyle="1" w:styleId="NoSpacingChar">
    <w:name w:val="No Spacing Char"/>
    <w:basedOn w:val="DefaultParagraphFont"/>
    <w:link w:val="NoSpacing"/>
    <w:uiPriority w:val="1"/>
    <w:rsid w:val="00656901"/>
    <w:rPr>
      <w:rFonts w:eastAsiaTheme="minorEastAsia"/>
    </w:rPr>
  </w:style>
  <w:style w:type="character" w:styleId="CommentReference">
    <w:name w:val="annotation reference"/>
    <w:basedOn w:val="DefaultParagraphFont"/>
    <w:uiPriority w:val="99"/>
    <w:semiHidden/>
    <w:unhideWhenUsed/>
    <w:rsid w:val="004E4AF3"/>
    <w:rPr>
      <w:sz w:val="16"/>
      <w:szCs w:val="16"/>
    </w:rPr>
  </w:style>
  <w:style w:type="paragraph" w:styleId="CommentText">
    <w:name w:val="annotation text"/>
    <w:basedOn w:val="Normal"/>
    <w:link w:val="CommentTextChar"/>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4E4AF3"/>
    <w:rPr>
      <w:kern w:val="2"/>
      <w:sz w:val="20"/>
      <w:szCs w:val="20"/>
      <w14:ligatures w14:val="standardContextual"/>
    </w:rPr>
  </w:style>
  <w:style w:type="paragraph" w:styleId="BalloonText">
    <w:name w:val="Balloon Text"/>
    <w:basedOn w:val="Normal"/>
    <w:link w:val="BalloonTextChar"/>
    <w:uiPriority w:val="99"/>
    <w:semiHidden/>
    <w:unhideWhenUsed/>
    <w:rsid w:val="004E4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DefaultParagraphFont"/>
    <w:rsid w:val="004640EB"/>
  </w:style>
  <w:style w:type="character" w:customStyle="1" w:styleId="citation-52">
    <w:name w:val="citation-52"/>
    <w:basedOn w:val="DefaultParagraphFont"/>
    <w:rsid w:val="004640EB"/>
  </w:style>
  <w:style w:type="character" w:customStyle="1" w:styleId="citation-51">
    <w:name w:val="citation-51"/>
    <w:basedOn w:val="DefaultParagraphFont"/>
    <w:rsid w:val="004640EB"/>
  </w:style>
  <w:style w:type="character" w:customStyle="1" w:styleId="citation-50">
    <w:name w:val="citation-50"/>
    <w:basedOn w:val="DefaultParagraphFont"/>
    <w:rsid w:val="004640EB"/>
  </w:style>
  <w:style w:type="character" w:customStyle="1" w:styleId="citation-49">
    <w:name w:val="citation-49"/>
    <w:basedOn w:val="DefaultParagraphFont"/>
    <w:rsid w:val="004640EB"/>
  </w:style>
  <w:style w:type="character" w:customStyle="1" w:styleId="citation-48">
    <w:name w:val="citation-48"/>
    <w:basedOn w:val="DefaultParagraphFont"/>
    <w:rsid w:val="004640EB"/>
  </w:style>
  <w:style w:type="character" w:customStyle="1" w:styleId="citation-47">
    <w:name w:val="citation-47"/>
    <w:basedOn w:val="DefaultParagraphFont"/>
    <w:rsid w:val="004640EB"/>
  </w:style>
  <w:style w:type="character" w:customStyle="1" w:styleId="citation-46">
    <w:name w:val="citation-46"/>
    <w:basedOn w:val="DefaultParagraphFont"/>
    <w:rsid w:val="004640EB"/>
  </w:style>
  <w:style w:type="character" w:customStyle="1" w:styleId="citation-45">
    <w:name w:val="citation-45"/>
    <w:basedOn w:val="DefaultParagraphFont"/>
    <w:rsid w:val="004640EB"/>
  </w:style>
  <w:style w:type="character" w:customStyle="1" w:styleId="citation-44">
    <w:name w:val="citation-44"/>
    <w:basedOn w:val="DefaultParagraphFont"/>
    <w:rsid w:val="004640EB"/>
  </w:style>
  <w:style w:type="character" w:customStyle="1" w:styleId="citation-43">
    <w:name w:val="citation-43"/>
    <w:basedOn w:val="DefaultParagraphFont"/>
    <w:rsid w:val="004640EB"/>
  </w:style>
  <w:style w:type="character" w:customStyle="1" w:styleId="citation-42">
    <w:name w:val="citation-42"/>
    <w:basedOn w:val="DefaultParagraphFont"/>
    <w:rsid w:val="004640EB"/>
  </w:style>
  <w:style w:type="character" w:customStyle="1" w:styleId="citation-41">
    <w:name w:val="citation-41"/>
    <w:basedOn w:val="DefaultParagraphFont"/>
    <w:rsid w:val="004640EB"/>
  </w:style>
  <w:style w:type="character" w:customStyle="1" w:styleId="citation-40">
    <w:name w:val="citation-40"/>
    <w:basedOn w:val="DefaultParagraphFont"/>
    <w:rsid w:val="004640EB"/>
  </w:style>
  <w:style w:type="character" w:customStyle="1" w:styleId="citation-39">
    <w:name w:val="citation-39"/>
    <w:basedOn w:val="DefaultParagraphFont"/>
    <w:rsid w:val="004640EB"/>
  </w:style>
  <w:style w:type="character" w:customStyle="1" w:styleId="citation-38">
    <w:name w:val="citation-38"/>
    <w:basedOn w:val="DefaultParagraphFont"/>
    <w:rsid w:val="004640EB"/>
  </w:style>
  <w:style w:type="character" w:customStyle="1" w:styleId="citation-37">
    <w:name w:val="citation-37"/>
    <w:basedOn w:val="DefaultParagraphFont"/>
    <w:rsid w:val="004640EB"/>
  </w:style>
  <w:style w:type="character" w:customStyle="1" w:styleId="citation-36">
    <w:name w:val="citation-36"/>
    <w:basedOn w:val="DefaultParagraphFont"/>
    <w:rsid w:val="004640EB"/>
  </w:style>
  <w:style w:type="character" w:styleId="Emphasis">
    <w:name w:val="Emphasis"/>
    <w:basedOn w:val="DefaultParagraphFont"/>
    <w:uiPriority w:val="20"/>
    <w:qFormat/>
    <w:rsid w:val="00CB5A0D"/>
    <w:rPr>
      <w:i/>
      <w:iCs/>
    </w:rPr>
  </w:style>
  <w:style w:type="character" w:customStyle="1" w:styleId="vkekvd">
    <w:name w:val="vkekvd"/>
    <w:basedOn w:val="DefaultParagraphFont"/>
    <w:rsid w:val="00695651"/>
  </w:style>
  <w:style w:type="character" w:customStyle="1" w:styleId="t286pc">
    <w:name w:val="t286pc"/>
    <w:basedOn w:val="DefaultParagraphFont"/>
    <w:rsid w:val="00695651"/>
  </w:style>
  <w:style w:type="character" w:customStyle="1" w:styleId="ifmvxd">
    <w:name w:val="ifmvxd"/>
    <w:basedOn w:val="DefaultParagraphFont"/>
    <w:rsid w:val="00EC4D3D"/>
  </w:style>
  <w:style w:type="character" w:customStyle="1" w:styleId="ijm6od">
    <w:name w:val="ijm6od"/>
    <w:basedOn w:val="DefaultParagraphFont"/>
    <w:rsid w:val="00EC4D3D"/>
  </w:style>
  <w:style w:type="paragraph" w:customStyle="1" w:styleId="df3vjf">
    <w:name w:val="df3vjf"/>
    <w:basedOn w:val="Normal"/>
    <w:rsid w:val="00EC4D3D"/>
    <w:pPr>
      <w:spacing w:before="100" w:beforeAutospacing="1" w:after="100" w:afterAutospacing="1"/>
    </w:pPr>
    <w:rPr>
      <w:lang w:val="en-US" w:eastAsia="en-US"/>
    </w:rPr>
  </w:style>
  <w:style w:type="paragraph" w:customStyle="1" w:styleId="css-1akm6h5-paragraph">
    <w:name w:val="css-1akm6h5-paragraph"/>
    <w:basedOn w:val="Normal"/>
    <w:rsid w:val="004E0CD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135878911">
      <w:bodyDiv w:val="1"/>
      <w:marLeft w:val="0"/>
      <w:marRight w:val="0"/>
      <w:marTop w:val="0"/>
      <w:marBottom w:val="0"/>
      <w:divBdr>
        <w:top w:val="none" w:sz="0" w:space="0" w:color="auto"/>
        <w:left w:val="none" w:sz="0" w:space="0" w:color="auto"/>
        <w:bottom w:val="none" w:sz="0" w:space="0" w:color="auto"/>
        <w:right w:val="none" w:sz="0" w:space="0" w:color="auto"/>
      </w:divBdr>
      <w:divsChild>
        <w:div w:id="107820505">
          <w:marLeft w:val="0"/>
          <w:marRight w:val="0"/>
          <w:marTop w:val="0"/>
          <w:marBottom w:val="0"/>
          <w:divBdr>
            <w:top w:val="none" w:sz="0" w:space="0" w:color="auto"/>
            <w:left w:val="none" w:sz="0" w:space="0" w:color="auto"/>
            <w:bottom w:val="none" w:sz="0" w:space="0" w:color="auto"/>
            <w:right w:val="none" w:sz="0" w:space="0" w:color="auto"/>
          </w:divBdr>
        </w:div>
        <w:div w:id="222444949">
          <w:marLeft w:val="0"/>
          <w:marRight w:val="0"/>
          <w:marTop w:val="0"/>
          <w:marBottom w:val="0"/>
          <w:divBdr>
            <w:top w:val="none" w:sz="0" w:space="0" w:color="auto"/>
            <w:left w:val="none" w:sz="0" w:space="0" w:color="auto"/>
            <w:bottom w:val="none" w:sz="0" w:space="0" w:color="auto"/>
            <w:right w:val="none" w:sz="0" w:space="0" w:color="auto"/>
          </w:divBdr>
        </w:div>
      </w:divsChild>
    </w:div>
    <w:div w:id="141772442">
      <w:bodyDiv w:val="1"/>
      <w:marLeft w:val="0"/>
      <w:marRight w:val="0"/>
      <w:marTop w:val="0"/>
      <w:marBottom w:val="0"/>
      <w:divBdr>
        <w:top w:val="none" w:sz="0" w:space="0" w:color="auto"/>
        <w:left w:val="none" w:sz="0" w:space="0" w:color="auto"/>
        <w:bottom w:val="none" w:sz="0" w:space="0" w:color="auto"/>
        <w:right w:val="none" w:sz="0" w:space="0" w:color="auto"/>
      </w:divBdr>
    </w:div>
    <w:div w:id="150561548">
      <w:bodyDiv w:val="1"/>
      <w:marLeft w:val="0"/>
      <w:marRight w:val="0"/>
      <w:marTop w:val="0"/>
      <w:marBottom w:val="0"/>
      <w:divBdr>
        <w:top w:val="none" w:sz="0" w:space="0" w:color="auto"/>
        <w:left w:val="none" w:sz="0" w:space="0" w:color="auto"/>
        <w:bottom w:val="none" w:sz="0" w:space="0" w:color="auto"/>
        <w:right w:val="none" w:sz="0" w:space="0" w:color="auto"/>
      </w:divBdr>
      <w:divsChild>
        <w:div w:id="1647123582">
          <w:marLeft w:val="0"/>
          <w:marRight w:val="0"/>
          <w:marTop w:val="0"/>
          <w:marBottom w:val="0"/>
          <w:divBdr>
            <w:top w:val="none" w:sz="0" w:space="0" w:color="auto"/>
            <w:left w:val="none" w:sz="0" w:space="0" w:color="auto"/>
            <w:bottom w:val="none" w:sz="0" w:space="0" w:color="auto"/>
            <w:right w:val="none" w:sz="0" w:space="0" w:color="auto"/>
          </w:divBdr>
        </w:div>
      </w:divsChild>
    </w:div>
    <w:div w:id="428084460">
      <w:bodyDiv w:val="1"/>
      <w:marLeft w:val="0"/>
      <w:marRight w:val="0"/>
      <w:marTop w:val="0"/>
      <w:marBottom w:val="0"/>
      <w:divBdr>
        <w:top w:val="none" w:sz="0" w:space="0" w:color="auto"/>
        <w:left w:val="none" w:sz="0" w:space="0" w:color="auto"/>
        <w:bottom w:val="none" w:sz="0" w:space="0" w:color="auto"/>
        <w:right w:val="none" w:sz="0" w:space="0" w:color="auto"/>
      </w:divBdr>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14287640">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796294929">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937328212">
      <w:bodyDiv w:val="1"/>
      <w:marLeft w:val="0"/>
      <w:marRight w:val="0"/>
      <w:marTop w:val="0"/>
      <w:marBottom w:val="0"/>
      <w:divBdr>
        <w:top w:val="none" w:sz="0" w:space="0" w:color="auto"/>
        <w:left w:val="none" w:sz="0" w:space="0" w:color="auto"/>
        <w:bottom w:val="none" w:sz="0" w:space="0" w:color="auto"/>
        <w:right w:val="none" w:sz="0" w:space="0" w:color="auto"/>
      </w:divBdr>
    </w:div>
    <w:div w:id="1307006390">
      <w:bodyDiv w:val="1"/>
      <w:marLeft w:val="0"/>
      <w:marRight w:val="0"/>
      <w:marTop w:val="0"/>
      <w:marBottom w:val="0"/>
      <w:divBdr>
        <w:top w:val="none" w:sz="0" w:space="0" w:color="auto"/>
        <w:left w:val="none" w:sz="0" w:space="0" w:color="auto"/>
        <w:bottom w:val="none" w:sz="0" w:space="0" w:color="auto"/>
        <w:right w:val="none" w:sz="0" w:space="0" w:color="auto"/>
      </w:divBdr>
      <w:divsChild>
        <w:div w:id="1218781706">
          <w:marLeft w:val="0"/>
          <w:marRight w:val="0"/>
          <w:marTop w:val="0"/>
          <w:marBottom w:val="0"/>
          <w:divBdr>
            <w:top w:val="none" w:sz="0" w:space="0" w:color="auto"/>
            <w:left w:val="none" w:sz="0" w:space="0" w:color="auto"/>
            <w:bottom w:val="none" w:sz="0" w:space="0" w:color="auto"/>
            <w:right w:val="none" w:sz="0" w:space="0" w:color="auto"/>
          </w:divBdr>
          <w:divsChild>
            <w:div w:id="1346326812">
              <w:marLeft w:val="0"/>
              <w:marRight w:val="0"/>
              <w:marTop w:val="0"/>
              <w:marBottom w:val="0"/>
              <w:divBdr>
                <w:top w:val="none" w:sz="0" w:space="0" w:color="auto"/>
                <w:left w:val="none" w:sz="0" w:space="0" w:color="auto"/>
                <w:bottom w:val="none" w:sz="0" w:space="0" w:color="auto"/>
                <w:right w:val="none" w:sz="0" w:space="0" w:color="auto"/>
              </w:divBdr>
            </w:div>
          </w:divsChild>
        </w:div>
        <w:div w:id="1601331865">
          <w:marLeft w:val="0"/>
          <w:marRight w:val="0"/>
          <w:marTop w:val="0"/>
          <w:marBottom w:val="0"/>
          <w:divBdr>
            <w:top w:val="none" w:sz="0" w:space="0" w:color="auto"/>
            <w:left w:val="none" w:sz="0" w:space="0" w:color="auto"/>
            <w:bottom w:val="none" w:sz="0" w:space="0" w:color="auto"/>
            <w:right w:val="none" w:sz="0" w:space="0" w:color="auto"/>
          </w:divBdr>
        </w:div>
        <w:div w:id="284435015">
          <w:marLeft w:val="0"/>
          <w:marRight w:val="0"/>
          <w:marTop w:val="0"/>
          <w:marBottom w:val="0"/>
          <w:divBdr>
            <w:top w:val="none" w:sz="0" w:space="0" w:color="auto"/>
            <w:left w:val="none" w:sz="0" w:space="0" w:color="auto"/>
            <w:bottom w:val="none" w:sz="0" w:space="0" w:color="auto"/>
            <w:right w:val="none" w:sz="0" w:space="0" w:color="auto"/>
          </w:divBdr>
        </w:div>
        <w:div w:id="463423150">
          <w:marLeft w:val="0"/>
          <w:marRight w:val="0"/>
          <w:marTop w:val="0"/>
          <w:marBottom w:val="0"/>
          <w:divBdr>
            <w:top w:val="none" w:sz="0" w:space="0" w:color="auto"/>
            <w:left w:val="none" w:sz="0" w:space="0" w:color="auto"/>
            <w:bottom w:val="none" w:sz="0" w:space="0" w:color="auto"/>
            <w:right w:val="none" w:sz="0" w:space="0" w:color="auto"/>
          </w:divBdr>
        </w:div>
      </w:divsChild>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518999446">
      <w:bodyDiv w:val="1"/>
      <w:marLeft w:val="0"/>
      <w:marRight w:val="0"/>
      <w:marTop w:val="0"/>
      <w:marBottom w:val="0"/>
      <w:divBdr>
        <w:top w:val="none" w:sz="0" w:space="0" w:color="auto"/>
        <w:left w:val="none" w:sz="0" w:space="0" w:color="auto"/>
        <w:bottom w:val="none" w:sz="0" w:space="0" w:color="auto"/>
        <w:right w:val="none" w:sz="0" w:space="0" w:color="auto"/>
      </w:divBdr>
    </w:div>
    <w:div w:id="1563711897">
      <w:bodyDiv w:val="1"/>
      <w:marLeft w:val="0"/>
      <w:marRight w:val="0"/>
      <w:marTop w:val="0"/>
      <w:marBottom w:val="0"/>
      <w:divBdr>
        <w:top w:val="none" w:sz="0" w:space="0" w:color="auto"/>
        <w:left w:val="none" w:sz="0" w:space="0" w:color="auto"/>
        <w:bottom w:val="none" w:sz="0" w:space="0" w:color="auto"/>
        <w:right w:val="none" w:sz="0" w:space="0" w:color="auto"/>
      </w:divBdr>
    </w:div>
    <w:div w:id="1700357861">
      <w:bodyDiv w:val="1"/>
      <w:marLeft w:val="0"/>
      <w:marRight w:val="0"/>
      <w:marTop w:val="0"/>
      <w:marBottom w:val="0"/>
      <w:divBdr>
        <w:top w:val="none" w:sz="0" w:space="0" w:color="auto"/>
        <w:left w:val="none" w:sz="0" w:space="0" w:color="auto"/>
        <w:bottom w:val="none" w:sz="0" w:space="0" w:color="auto"/>
        <w:right w:val="none" w:sz="0" w:space="0" w:color="auto"/>
      </w:divBdr>
      <w:divsChild>
        <w:div w:id="712119627">
          <w:marLeft w:val="0"/>
          <w:marRight w:val="0"/>
          <w:marTop w:val="0"/>
          <w:marBottom w:val="0"/>
          <w:divBdr>
            <w:top w:val="none" w:sz="0" w:space="0" w:color="auto"/>
            <w:left w:val="none" w:sz="0" w:space="0" w:color="auto"/>
            <w:bottom w:val="none" w:sz="0" w:space="0" w:color="auto"/>
            <w:right w:val="none" w:sz="0" w:space="0" w:color="auto"/>
          </w:divBdr>
        </w:div>
      </w:divsChild>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825194970">
      <w:bodyDiv w:val="1"/>
      <w:marLeft w:val="0"/>
      <w:marRight w:val="0"/>
      <w:marTop w:val="0"/>
      <w:marBottom w:val="0"/>
      <w:divBdr>
        <w:top w:val="none" w:sz="0" w:space="0" w:color="auto"/>
        <w:left w:val="none" w:sz="0" w:space="0" w:color="auto"/>
        <w:bottom w:val="none" w:sz="0" w:space="0" w:color="auto"/>
        <w:right w:val="none" w:sz="0" w:space="0" w:color="auto"/>
      </w:divBdr>
      <w:divsChild>
        <w:div w:id="582446294">
          <w:marLeft w:val="0"/>
          <w:marRight w:val="0"/>
          <w:marTop w:val="0"/>
          <w:marBottom w:val="0"/>
          <w:divBdr>
            <w:top w:val="none" w:sz="0" w:space="0" w:color="auto"/>
            <w:left w:val="none" w:sz="0" w:space="0" w:color="auto"/>
            <w:bottom w:val="none" w:sz="0" w:space="0" w:color="auto"/>
            <w:right w:val="none" w:sz="0" w:space="0" w:color="auto"/>
          </w:divBdr>
        </w:div>
      </w:divsChild>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tent.govdelivery.com/accounts/USDHSCBP/bulletins/40b3b7b"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cocom-washington@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710F-8B7C-4C2E-9CC3-BAA8AD2B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Dionysios Protopapas</cp:lastModifiedBy>
  <cp:revision>2</cp:revision>
  <cp:lastPrinted>2025-09-18T22:55:00Z</cp:lastPrinted>
  <dcterms:created xsi:type="dcterms:W3CDTF">2026-03-04T17:00:00Z</dcterms:created>
  <dcterms:modified xsi:type="dcterms:W3CDTF">2026-03-04T17:00:00Z</dcterms:modified>
</cp:coreProperties>
</file>