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D732" w14:textId="186F47BE" w:rsidR="006F7D9A" w:rsidRPr="00BF7B3B" w:rsidRDefault="00BF7B3B" w:rsidP="00BF7B3B">
      <w:pPr>
        <w:jc w:val="center"/>
        <w:rPr>
          <w:b/>
          <w:bCs/>
          <w:sz w:val="32"/>
          <w:szCs w:val="32"/>
        </w:rPr>
      </w:pPr>
      <w:r w:rsidRPr="00BF7B3B">
        <w:rPr>
          <w:b/>
          <w:bCs/>
          <w:sz w:val="32"/>
          <w:szCs w:val="32"/>
        </w:rPr>
        <w:t>Project information</w:t>
      </w:r>
    </w:p>
    <w:p w14:paraId="69CAA89A" w14:textId="77777777" w:rsidR="00BF7B3B" w:rsidRPr="00BF7B3B" w:rsidRDefault="00BF7B3B"/>
    <w:p w14:paraId="0D95D858" w14:textId="2B195FDC" w:rsidR="00BF7B3B" w:rsidRPr="001D432E" w:rsidRDefault="00436F2B" w:rsidP="001D43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1D432E">
        <w:rPr>
          <w:b/>
          <w:bCs/>
          <w:sz w:val="24"/>
          <w:szCs w:val="24"/>
        </w:rPr>
        <w:t xml:space="preserve">tudy </w:t>
      </w:r>
      <w:r>
        <w:rPr>
          <w:b/>
          <w:bCs/>
          <w:sz w:val="24"/>
          <w:szCs w:val="24"/>
        </w:rPr>
        <w:t xml:space="preserve">for the </w:t>
      </w:r>
      <w:r w:rsidR="00BF7B3B" w:rsidRPr="001D432E">
        <w:rPr>
          <w:b/>
          <w:bCs/>
          <w:sz w:val="24"/>
          <w:szCs w:val="24"/>
        </w:rPr>
        <w:t xml:space="preserve">Ex-post </w:t>
      </w:r>
      <w:r w:rsidR="00A445FB" w:rsidRPr="001D432E">
        <w:rPr>
          <w:b/>
          <w:bCs/>
          <w:sz w:val="24"/>
          <w:szCs w:val="24"/>
        </w:rPr>
        <w:t xml:space="preserve">evaluation </w:t>
      </w:r>
      <w:r w:rsidR="002A437F" w:rsidRPr="001D432E">
        <w:rPr>
          <w:b/>
          <w:bCs/>
          <w:sz w:val="24"/>
          <w:szCs w:val="24"/>
        </w:rPr>
        <w:t>of</w:t>
      </w:r>
      <w:r w:rsidR="00BF7B3B" w:rsidRPr="001D432E">
        <w:rPr>
          <w:b/>
          <w:bCs/>
          <w:sz w:val="24"/>
          <w:szCs w:val="24"/>
        </w:rPr>
        <w:t xml:space="preserve"> the EU-Japan Economic Partnership Agreement (EPA)</w:t>
      </w:r>
    </w:p>
    <w:p w14:paraId="48995A8C" w14:textId="77777777" w:rsidR="00BF7B3B" w:rsidRPr="00BF7B3B" w:rsidRDefault="00000000" w:rsidP="00BF7B3B">
      <w:r>
        <w:rPr>
          <w:noProof/>
        </w:rPr>
        <w:pict w14:anchorId="78E75F41">
          <v:rect id="_x0000_i1025" style="width:0;height:1.5pt" o:hralign="center" o:hrstd="t" o:hr="t" fillcolor="#a0a0a0" stroked="f"/>
        </w:pict>
      </w:r>
    </w:p>
    <w:p w14:paraId="3E3377A3" w14:textId="56C29BD9" w:rsidR="00BF7B3B" w:rsidRPr="00BF7B3B" w:rsidRDefault="00BF7B3B" w:rsidP="00BF7B3B">
      <w:r w:rsidRPr="00BF7B3B">
        <w:rPr>
          <w:b/>
          <w:bCs/>
        </w:rPr>
        <w:t>Purpose &amp; Scope</w:t>
      </w:r>
      <w:r w:rsidR="002A7813">
        <w:rPr>
          <w:b/>
          <w:bCs/>
        </w:rPr>
        <w:t xml:space="preserve"> of the study</w:t>
      </w:r>
      <w:r w:rsidRPr="00BF7B3B">
        <w:rPr>
          <w:b/>
          <w:bCs/>
        </w:rPr>
        <w:t>:</w:t>
      </w:r>
    </w:p>
    <w:p w14:paraId="57818CB1" w14:textId="7805F65C" w:rsidR="00BF7B3B" w:rsidRPr="00BF7B3B" w:rsidRDefault="00F92BB6" w:rsidP="001D432E">
      <w:pPr>
        <w:numPr>
          <w:ilvl w:val="0"/>
          <w:numId w:val="1"/>
        </w:numPr>
        <w:jc w:val="both"/>
      </w:pPr>
      <w:r>
        <w:t xml:space="preserve">A consortium of independent </w:t>
      </w:r>
      <w:r w:rsidR="005B0FCB">
        <w:t xml:space="preserve">experts </w:t>
      </w:r>
      <w:r w:rsidR="00E3366B">
        <w:t>c</w:t>
      </w:r>
      <w:r w:rsidR="00C1046C">
        <w:t>arries out</w:t>
      </w:r>
      <w:r w:rsidR="00E3366B">
        <w:t xml:space="preserve"> an analysis to </w:t>
      </w:r>
      <w:r w:rsidR="00BF7B3B" w:rsidRPr="00BF7B3B">
        <w:t xml:space="preserve">support the European Commission in conducting an evidence-based ex-post evaluation of the EU-Japan EPA, after five years of </w:t>
      </w:r>
      <w:r w:rsidR="00C1046C">
        <w:t xml:space="preserve"> </w:t>
      </w:r>
      <w:r w:rsidR="00BF7B3B" w:rsidRPr="00BF7B3B">
        <w:t xml:space="preserve">application. </w:t>
      </w:r>
    </w:p>
    <w:p w14:paraId="1FFF5265" w14:textId="1A3BE3AD" w:rsidR="00BF7B3B" w:rsidRDefault="00BF7B3B" w:rsidP="001D432E">
      <w:pPr>
        <w:numPr>
          <w:ilvl w:val="0"/>
          <w:numId w:val="1"/>
        </w:numPr>
        <w:jc w:val="both"/>
      </w:pPr>
      <w:r w:rsidRPr="00BF7B3B">
        <w:t>The evaluation will assess economic, social, environmental, and human-right</w:t>
      </w:r>
      <w:r w:rsidR="00487768">
        <w:t xml:space="preserve"> impacts</w:t>
      </w:r>
      <w:r w:rsidRPr="00BF7B3B">
        <w:t xml:space="preserve"> of the Agreement. </w:t>
      </w:r>
    </w:p>
    <w:p w14:paraId="63F02B47" w14:textId="041A3455" w:rsidR="00E51609" w:rsidRPr="00BF7B3B" w:rsidRDefault="00E51609" w:rsidP="001D432E">
      <w:pPr>
        <w:numPr>
          <w:ilvl w:val="0"/>
          <w:numId w:val="1"/>
        </w:numPr>
        <w:jc w:val="both"/>
      </w:pPr>
      <w:r>
        <w:t>The current study encompasses desk research and stakeholder consultations</w:t>
      </w:r>
      <w:r w:rsidR="00D1251D">
        <w:t>, including online seminars for stakeholders from the EU Member States and Japan.</w:t>
      </w:r>
    </w:p>
    <w:p w14:paraId="2108BC58" w14:textId="10B5FEEE" w:rsidR="00BF7B3B" w:rsidRPr="00BF7B3B" w:rsidRDefault="00BF7B3B" w:rsidP="001D432E">
      <w:pPr>
        <w:numPr>
          <w:ilvl w:val="0"/>
          <w:numId w:val="1"/>
        </w:numPr>
        <w:jc w:val="both"/>
      </w:pPr>
      <w:r w:rsidRPr="00BF7B3B">
        <w:t xml:space="preserve">Stakeholder input (from civil society, business, trade organisations etc.) is essential in gathering feedback about how the Agreement is functioning in practice in </w:t>
      </w:r>
      <w:r w:rsidR="00DE0D13">
        <w:t xml:space="preserve">the </w:t>
      </w:r>
      <w:r>
        <w:t xml:space="preserve">EU </w:t>
      </w:r>
      <w:r w:rsidRPr="00BF7B3B">
        <w:t>Member States and Japan</w:t>
      </w:r>
      <w:r w:rsidR="00314464">
        <w:t xml:space="preserve">, </w:t>
      </w:r>
      <w:r w:rsidR="00153A8B">
        <w:t>what works well, where challenges remain</w:t>
      </w:r>
      <w:r w:rsidR="001B6178">
        <w:t xml:space="preserve">, what impacts have been </w:t>
      </w:r>
      <w:r w:rsidR="00E0704C">
        <w:t>observed,</w:t>
      </w:r>
      <w:r w:rsidR="00153A8B">
        <w:t xml:space="preserve"> and what can be improved</w:t>
      </w:r>
      <w:r w:rsidR="00E0704C">
        <w:t xml:space="preserve"> in the future</w:t>
      </w:r>
      <w:r w:rsidRPr="00BF7B3B">
        <w:t xml:space="preserve">. </w:t>
      </w:r>
    </w:p>
    <w:p w14:paraId="672E32AA" w14:textId="77777777" w:rsidR="00BF7B3B" w:rsidRPr="00BF7B3B" w:rsidRDefault="00000000" w:rsidP="00BF7B3B">
      <w:r>
        <w:rPr>
          <w:noProof/>
        </w:rPr>
        <w:pict w14:anchorId="5F3E2AA3">
          <v:rect id="_x0000_i1026" style="width:0;height:1.5pt" o:hralign="center" o:hrstd="t" o:hr="t" fillcolor="#a0a0a0" stroked="f"/>
        </w:pict>
      </w:r>
    </w:p>
    <w:p w14:paraId="780A51C5" w14:textId="77777777" w:rsidR="001D432E" w:rsidRPr="00BF7B3B" w:rsidRDefault="001D432E" w:rsidP="001D432E">
      <w:r w:rsidRPr="00BF7B3B">
        <w:rPr>
          <w:b/>
          <w:bCs/>
        </w:rPr>
        <w:t>Why your participation matters:</w:t>
      </w:r>
    </w:p>
    <w:p w14:paraId="3EEFE2E2" w14:textId="77777777" w:rsidR="001D432E" w:rsidRPr="00BF7B3B" w:rsidRDefault="001D432E" w:rsidP="009E424F">
      <w:pPr>
        <w:numPr>
          <w:ilvl w:val="0"/>
          <w:numId w:val="4"/>
        </w:numPr>
        <w:jc w:val="both"/>
      </w:pPr>
      <w:r w:rsidRPr="00BF7B3B">
        <w:rPr>
          <w:i/>
          <w:iCs/>
        </w:rPr>
        <w:t>On-the-ground</w:t>
      </w:r>
      <w:r w:rsidRPr="00831F69">
        <w:rPr>
          <w:i/>
          <w:iCs/>
        </w:rPr>
        <w:t xml:space="preserve"> </w:t>
      </w:r>
      <w:r w:rsidRPr="00BF7B3B">
        <w:rPr>
          <w:i/>
          <w:iCs/>
        </w:rPr>
        <w:t>insights</w:t>
      </w:r>
      <w:r w:rsidRPr="00BF7B3B">
        <w:t xml:space="preserve">: local / sectoral experiences may differ widely; </w:t>
      </w:r>
      <w:r>
        <w:t xml:space="preserve">you or </w:t>
      </w:r>
      <w:r w:rsidRPr="00BF7B3B">
        <w:t xml:space="preserve">your stakeholders </w:t>
      </w:r>
      <w:r>
        <w:t xml:space="preserve">(members) </w:t>
      </w:r>
      <w:r w:rsidRPr="00BF7B3B">
        <w:t>will know things the quantitative analyses might miss.</w:t>
      </w:r>
    </w:p>
    <w:p w14:paraId="13DFDCBC" w14:textId="77777777" w:rsidR="001D432E" w:rsidRPr="00BF7B3B" w:rsidRDefault="001D432E" w:rsidP="009E424F">
      <w:pPr>
        <w:numPr>
          <w:ilvl w:val="0"/>
          <w:numId w:val="4"/>
        </w:numPr>
        <w:jc w:val="both"/>
      </w:pPr>
      <w:r w:rsidRPr="00BF7B3B">
        <w:rPr>
          <w:i/>
          <w:iCs/>
        </w:rPr>
        <w:t>Policy relevance:</w:t>
      </w:r>
      <w:r w:rsidRPr="00BF7B3B">
        <w:t xml:space="preserve"> the evaluation </w:t>
      </w:r>
      <w:r>
        <w:t xml:space="preserve">building on this study, including on stakeholder feedback, </w:t>
      </w:r>
      <w:r w:rsidRPr="00BF7B3B">
        <w:t>could inform future trade policy, adjustments, or supportive measures.</w:t>
      </w:r>
    </w:p>
    <w:p w14:paraId="0E23C99A" w14:textId="77777777" w:rsidR="001D432E" w:rsidRPr="00BF7B3B" w:rsidRDefault="001D432E" w:rsidP="009E424F">
      <w:pPr>
        <w:numPr>
          <w:ilvl w:val="0"/>
          <w:numId w:val="4"/>
        </w:numPr>
        <w:jc w:val="both"/>
      </w:pPr>
      <w:r w:rsidRPr="00BF7B3B">
        <w:rPr>
          <w:i/>
          <w:iCs/>
        </w:rPr>
        <w:t>Legitimacy:</w:t>
      </w:r>
      <w:r w:rsidRPr="00BF7B3B">
        <w:t xml:space="preserve"> stakeholder feedback strengthens the robustness and acceptability of the evaluation findings.</w:t>
      </w:r>
    </w:p>
    <w:p w14:paraId="34F404E8" w14:textId="77777777" w:rsidR="00BF7B3B" w:rsidRPr="00BF7B3B" w:rsidRDefault="00000000" w:rsidP="00EC26D6">
      <w:pPr>
        <w:jc w:val="both"/>
      </w:pPr>
      <w:r>
        <w:rPr>
          <w:noProof/>
        </w:rPr>
        <w:pict w14:anchorId="03172E36">
          <v:rect id="_x0000_i1027" style="width:0;height:1.5pt" o:hralign="center" o:hrstd="t" o:hr="t" fillcolor="#a0a0a0" stroked="f"/>
        </w:pict>
      </w:r>
    </w:p>
    <w:p w14:paraId="7A7E4550" w14:textId="77777777" w:rsidR="00BF7B3B" w:rsidRPr="00BF7B3B" w:rsidRDefault="00BF7B3B" w:rsidP="00BF7B3B">
      <w:r w:rsidRPr="00BF7B3B">
        <w:rPr>
          <w:b/>
          <w:bCs/>
        </w:rPr>
        <w:t>How to contribute / what to expect:</w:t>
      </w:r>
    </w:p>
    <w:p w14:paraId="59360FD6" w14:textId="1D5F0BBE" w:rsidR="00BF7B3B" w:rsidRPr="00BF7B3B" w:rsidRDefault="00BF7B3B" w:rsidP="00EC26D6">
      <w:pPr>
        <w:numPr>
          <w:ilvl w:val="0"/>
          <w:numId w:val="5"/>
        </w:numPr>
        <w:jc w:val="both"/>
      </w:pPr>
      <w:r w:rsidRPr="00BF7B3B">
        <w:t xml:space="preserve">Attend the online seminar </w:t>
      </w:r>
      <w:r w:rsidR="005B0F05">
        <w:t>for</w:t>
      </w:r>
      <w:r w:rsidRPr="00BF7B3B">
        <w:t xml:space="preserve"> your </w:t>
      </w:r>
      <w:r w:rsidR="005B0F05">
        <w:t xml:space="preserve">country (EU </w:t>
      </w:r>
      <w:r w:rsidRPr="00BF7B3B">
        <w:t>Member State</w:t>
      </w:r>
      <w:r w:rsidR="005B0F05">
        <w:t xml:space="preserve"> or Japan)</w:t>
      </w:r>
      <w:r w:rsidRPr="00BF7B3B">
        <w:t>; share your feedback.</w:t>
      </w:r>
    </w:p>
    <w:p w14:paraId="0A0A75AA" w14:textId="0080C6B9" w:rsidR="00BF7B3B" w:rsidRPr="00BF7B3B" w:rsidRDefault="00BF7B3B" w:rsidP="00EC26D6">
      <w:pPr>
        <w:numPr>
          <w:ilvl w:val="0"/>
          <w:numId w:val="5"/>
        </w:numPr>
        <w:jc w:val="both"/>
      </w:pPr>
      <w:r w:rsidRPr="00BF7B3B">
        <w:t>Use the materials provided (newsletter, social media posts, draft speaking points) to reach out to your networks.</w:t>
      </w:r>
    </w:p>
    <w:p w14:paraId="4E50A3F8" w14:textId="77777777" w:rsidR="00BF7B3B" w:rsidRDefault="00BF7B3B" w:rsidP="00EC26D6">
      <w:pPr>
        <w:numPr>
          <w:ilvl w:val="0"/>
          <w:numId w:val="5"/>
        </w:numPr>
        <w:jc w:val="both"/>
      </w:pPr>
      <w:r w:rsidRPr="00BF7B3B">
        <w:t>Respond to any pre- or post-seminar questionnaires or surveys.</w:t>
      </w:r>
    </w:p>
    <w:p w14:paraId="5FEFC6BA" w14:textId="7DF06FDE" w:rsidR="001D432E" w:rsidRDefault="001D432E" w:rsidP="00EC26D6">
      <w:pPr>
        <w:numPr>
          <w:ilvl w:val="0"/>
          <w:numId w:val="5"/>
        </w:numPr>
        <w:jc w:val="both"/>
      </w:pPr>
      <w:r>
        <w:t xml:space="preserve">Fill in </w:t>
      </w:r>
      <w:r w:rsidR="009E424F">
        <w:t xml:space="preserve">the </w:t>
      </w:r>
      <w:r>
        <w:t xml:space="preserve">Online Surveys on the impact of the Agreement: </w:t>
      </w:r>
      <w:hyperlink r:id="rId5" w:history="1">
        <w:r w:rsidRPr="001D432E">
          <w:rPr>
            <w:rStyle w:val="Hyperlink"/>
          </w:rPr>
          <w:t>General Survey</w:t>
        </w:r>
      </w:hyperlink>
      <w:r>
        <w:t xml:space="preserve"> and </w:t>
      </w:r>
      <w:hyperlink r:id="rId6" w:history="1">
        <w:r w:rsidRPr="001D432E">
          <w:rPr>
            <w:rStyle w:val="Hyperlink"/>
          </w:rPr>
          <w:t>Business Survey</w:t>
        </w:r>
      </w:hyperlink>
    </w:p>
    <w:p w14:paraId="7218A9E8" w14:textId="74572458" w:rsidR="001D432E" w:rsidRDefault="00000000" w:rsidP="001D432E">
      <w:pPr>
        <w:rPr>
          <w:b/>
          <w:bCs/>
        </w:rPr>
      </w:pPr>
      <w:r>
        <w:rPr>
          <w:noProof/>
        </w:rPr>
        <w:pict w14:anchorId="373B2DC1">
          <v:rect id="_x0000_i1028" style="width:0;height:1.5pt" o:hralign="center" o:hrstd="t" o:hr="t" fillcolor="#a0a0a0" stroked="f"/>
        </w:pict>
      </w:r>
    </w:p>
    <w:p w14:paraId="72C9ACED" w14:textId="03F1E631" w:rsidR="001D432E" w:rsidRPr="00BF7B3B" w:rsidRDefault="001D432E" w:rsidP="001D432E">
      <w:r w:rsidRPr="00BF7B3B">
        <w:rPr>
          <w:b/>
          <w:bCs/>
        </w:rPr>
        <w:t>Background</w:t>
      </w:r>
      <w:r>
        <w:rPr>
          <w:b/>
          <w:bCs/>
        </w:rPr>
        <w:t xml:space="preserve"> information about the Agreement</w:t>
      </w:r>
      <w:r w:rsidRPr="00BF7B3B">
        <w:rPr>
          <w:b/>
          <w:bCs/>
        </w:rPr>
        <w:t>:</w:t>
      </w:r>
    </w:p>
    <w:p w14:paraId="3DFBEDF1" w14:textId="77777777" w:rsidR="001D432E" w:rsidRDefault="001D432E" w:rsidP="00EC26D6">
      <w:pPr>
        <w:numPr>
          <w:ilvl w:val="0"/>
          <w:numId w:val="5"/>
        </w:numPr>
        <w:jc w:val="both"/>
      </w:pPr>
      <w:r w:rsidRPr="00BF7B3B">
        <w:t xml:space="preserve">The EU-Japan EPA entered into force on </w:t>
      </w:r>
      <w:r w:rsidRPr="00BF7B3B">
        <w:rPr>
          <w:b/>
          <w:bCs/>
        </w:rPr>
        <w:t>1 February 2019</w:t>
      </w:r>
      <w:r w:rsidRPr="00BF7B3B">
        <w:t xml:space="preserve">. </w:t>
      </w:r>
      <w:r>
        <w:t xml:space="preserve">See more information </w:t>
      </w:r>
      <w:hyperlink r:id="rId7" w:history="1">
        <w:r w:rsidRPr="00BF7B3B">
          <w:rPr>
            <w:rStyle w:val="Hyperlink"/>
          </w:rPr>
          <w:t>here</w:t>
        </w:r>
      </w:hyperlink>
      <w:r>
        <w:t xml:space="preserve">. </w:t>
      </w:r>
    </w:p>
    <w:p w14:paraId="04E41B7C" w14:textId="5A6DA2BA" w:rsidR="001D432E" w:rsidRDefault="001D432E" w:rsidP="00EC26D6">
      <w:pPr>
        <w:numPr>
          <w:ilvl w:val="0"/>
          <w:numId w:val="5"/>
        </w:numPr>
        <w:jc w:val="both"/>
      </w:pPr>
      <w:r w:rsidRPr="00BF7B3B">
        <w:t xml:space="preserve">The Agreement is one of the EU’s major trade agreements and includes provisions on goods, services, intellectual property, government procurement, non-tariff regulatory measures, transparency, </w:t>
      </w:r>
      <w:r>
        <w:t xml:space="preserve">sustainable development, etc. See full text of the Agreement </w:t>
      </w:r>
      <w:hyperlink r:id="rId8" w:history="1">
        <w:r w:rsidRPr="00BF7B3B">
          <w:rPr>
            <w:rStyle w:val="Hyperlink"/>
          </w:rPr>
          <w:t>here.</w:t>
        </w:r>
      </w:hyperlink>
    </w:p>
    <w:p w14:paraId="3DFF0ADC" w14:textId="16679CFE" w:rsidR="001D432E" w:rsidRPr="00BF7B3B" w:rsidRDefault="001D432E" w:rsidP="00EC26D6">
      <w:pPr>
        <w:numPr>
          <w:ilvl w:val="0"/>
          <w:numId w:val="5"/>
        </w:numPr>
        <w:jc w:val="both"/>
      </w:pPr>
      <w:r>
        <w:t xml:space="preserve">Trade between the EU and Japan has grown substantially in the five years after the Agreement’s application. See trade snapshots for some EU Member States </w:t>
      </w:r>
      <w:hyperlink r:id="rId9" w:history="1">
        <w:r w:rsidRPr="00831F69">
          <w:rPr>
            <w:rStyle w:val="Hyperlink"/>
          </w:rPr>
          <w:t>here</w:t>
        </w:r>
      </w:hyperlink>
      <w:r>
        <w:t>.</w:t>
      </w:r>
    </w:p>
    <w:p w14:paraId="0AE4FAF7" w14:textId="77777777" w:rsidR="00BF7B3B" w:rsidRPr="00BF7B3B" w:rsidRDefault="00000000" w:rsidP="00BF7B3B">
      <w:r>
        <w:rPr>
          <w:noProof/>
        </w:rPr>
        <w:pict w14:anchorId="62345B0C">
          <v:rect id="_x0000_i1029" style="width:0;height:1.5pt" o:hralign="center" o:hrstd="t" o:hr="t" fillcolor="#a0a0a0" stroked="f"/>
        </w:pict>
      </w:r>
    </w:p>
    <w:p w14:paraId="0D7C96FF" w14:textId="77777777" w:rsidR="00BF7B3B" w:rsidRPr="00BF7B3B" w:rsidRDefault="00BF7B3B" w:rsidP="00BF7B3B">
      <w:r w:rsidRPr="00BF7B3B">
        <w:rPr>
          <w:b/>
          <w:bCs/>
        </w:rPr>
        <w:t>Key Information / Resources:</w:t>
      </w:r>
    </w:p>
    <w:p w14:paraId="7FB97020" w14:textId="2B938309" w:rsidR="00BF7B3B" w:rsidRPr="00BF7B3B" w:rsidRDefault="00BF7B3B" w:rsidP="00EC26D6">
      <w:pPr>
        <w:numPr>
          <w:ilvl w:val="0"/>
          <w:numId w:val="6"/>
        </w:numPr>
        <w:jc w:val="both"/>
      </w:pPr>
      <w:r w:rsidRPr="00BF7B3B">
        <w:t xml:space="preserve">Website: </w:t>
      </w:r>
      <w:hyperlink r:id="rId10" w:tgtFrame="_new" w:history="1">
        <w:r w:rsidRPr="00BF7B3B">
          <w:rPr>
            <w:rStyle w:val="Hyperlink"/>
          </w:rPr>
          <w:t>www.eu-japan-evaluation.eu</w:t>
        </w:r>
      </w:hyperlink>
      <w:r w:rsidRPr="00BF7B3B">
        <w:t xml:space="preserve"> (contains newsletter, project updates, registration links for seminars) </w:t>
      </w:r>
    </w:p>
    <w:p w14:paraId="080F845F" w14:textId="6DC2606A" w:rsidR="00BF7B3B" w:rsidRPr="00BF7B3B" w:rsidRDefault="00BF7B3B" w:rsidP="00EC26D6">
      <w:pPr>
        <w:numPr>
          <w:ilvl w:val="0"/>
          <w:numId w:val="6"/>
        </w:numPr>
        <w:jc w:val="both"/>
      </w:pPr>
      <w:r w:rsidRPr="00BF7B3B">
        <w:t>EPA Helpdesk (EU-Japan Centre</w:t>
      </w:r>
      <w:r w:rsidR="009E424F">
        <w:t xml:space="preserve"> for Industrial Cooperation</w:t>
      </w:r>
      <w:r w:rsidRPr="00BF7B3B">
        <w:t xml:space="preserve">) for SMEs: handbooks, webinars, factsheets about how to use EPA, rules of origin, etc. </w:t>
      </w:r>
      <w:hyperlink r:id="rId11" w:tgtFrame="_blank" w:history="1">
        <w:r w:rsidRPr="00BF7B3B">
          <w:rPr>
            <w:rStyle w:val="Hyperlink"/>
          </w:rPr>
          <w:t>eu-japan.eu</w:t>
        </w:r>
      </w:hyperlink>
    </w:p>
    <w:sectPr w:rsidR="00BF7B3B" w:rsidRPr="00BF7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9CB"/>
    <w:multiLevelType w:val="multilevel"/>
    <w:tmpl w:val="E6C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441E"/>
    <w:multiLevelType w:val="multilevel"/>
    <w:tmpl w:val="E4A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1106D"/>
    <w:multiLevelType w:val="multilevel"/>
    <w:tmpl w:val="9CA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31174"/>
    <w:multiLevelType w:val="multilevel"/>
    <w:tmpl w:val="8A5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34FB2"/>
    <w:multiLevelType w:val="multilevel"/>
    <w:tmpl w:val="3B00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03805"/>
    <w:multiLevelType w:val="multilevel"/>
    <w:tmpl w:val="CF64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4131">
    <w:abstractNumId w:val="4"/>
  </w:num>
  <w:num w:numId="2" w16cid:durableId="572740300">
    <w:abstractNumId w:val="2"/>
  </w:num>
  <w:num w:numId="3" w16cid:durableId="222642623">
    <w:abstractNumId w:val="1"/>
  </w:num>
  <w:num w:numId="4" w16cid:durableId="307321266">
    <w:abstractNumId w:val="0"/>
  </w:num>
  <w:num w:numId="5" w16cid:durableId="2030448715">
    <w:abstractNumId w:val="3"/>
  </w:num>
  <w:num w:numId="6" w16cid:durableId="1042830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3B"/>
    <w:rsid w:val="00153A8B"/>
    <w:rsid w:val="00154922"/>
    <w:rsid w:val="001B6178"/>
    <w:rsid w:val="001D432E"/>
    <w:rsid w:val="00277A06"/>
    <w:rsid w:val="002A437F"/>
    <w:rsid w:val="002A7813"/>
    <w:rsid w:val="002D1AF1"/>
    <w:rsid w:val="00314464"/>
    <w:rsid w:val="00401E77"/>
    <w:rsid w:val="00436F2B"/>
    <w:rsid w:val="00453FE2"/>
    <w:rsid w:val="00487768"/>
    <w:rsid w:val="004E5716"/>
    <w:rsid w:val="0053453C"/>
    <w:rsid w:val="005A292F"/>
    <w:rsid w:val="005B0F05"/>
    <w:rsid w:val="005B0FCB"/>
    <w:rsid w:val="00645875"/>
    <w:rsid w:val="006F7D9A"/>
    <w:rsid w:val="00704482"/>
    <w:rsid w:val="00820AF9"/>
    <w:rsid w:val="00831F69"/>
    <w:rsid w:val="00947F5E"/>
    <w:rsid w:val="009549D0"/>
    <w:rsid w:val="009E424F"/>
    <w:rsid w:val="00A04166"/>
    <w:rsid w:val="00A445FB"/>
    <w:rsid w:val="00BF7B3B"/>
    <w:rsid w:val="00C1046C"/>
    <w:rsid w:val="00C3594C"/>
    <w:rsid w:val="00C37E8B"/>
    <w:rsid w:val="00D1251D"/>
    <w:rsid w:val="00DE0D13"/>
    <w:rsid w:val="00E0704C"/>
    <w:rsid w:val="00E3366B"/>
    <w:rsid w:val="00E51609"/>
    <w:rsid w:val="00E81B2C"/>
    <w:rsid w:val="00EC26D6"/>
    <w:rsid w:val="00F82022"/>
    <w:rsid w:val="00F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AB419"/>
  <w15:chartTrackingRefBased/>
  <w15:docId w15:val="{B1F1C60F-919D-4E5C-A65B-AEF1EA95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B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B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B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B3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F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trade.ec.europa.eu/eu-trade-relationships-country-and-region/countries-and-regions/japan/eu-japan-agreement/eu-japan-agreement-chapter-chapter_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licy.trade.ec.europa.eu/eu-trade-relationships-country-and-region/countries-and-regions/japan/eu-japan-agreement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survey/runner/2025-TC-busSMEs-expost-eval-EU-Japan-EPA-revRJ" TargetMode="External"/><Relationship Id="rId11" Type="http://schemas.openxmlformats.org/officeDocument/2006/relationships/hyperlink" Target="https://www.eu-japan.eu/epa-helpdesk" TargetMode="External"/><Relationship Id="rId5" Type="http://schemas.openxmlformats.org/officeDocument/2006/relationships/hyperlink" Target="https://ec.europa.eu/eusurvey/runner/2025-OPC-expost-eval-EU-Japan-EPA-revRJ?surveylanguage=en" TargetMode="External"/><Relationship Id="rId10" Type="http://schemas.openxmlformats.org/officeDocument/2006/relationships/hyperlink" Target="http://www.eu-japan-evaluatio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y.trade.ec.europa.eu/eu-trade-relationships-country-and-region/countries-and-regions/japan/eu-japan-agreement/factsheets-and-guides/factsheet-eu-japan-economic-partnership-agreement-ep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2025-09-29T13:21:00Z</dcterms:created>
  <dcterms:modified xsi:type="dcterms:W3CDTF">2025-10-10T10:34:00Z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2025-09-26T10:25:19Z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197c0ee0-e317-42df-ba41-845e26aeceb1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